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097A37" w:rsidRDefault="00A86A8F" w:rsidP="006C15F3">
      <w:pPr>
        <w:rPr>
          <w:rFonts w:ascii="Times New Roman" w:hAnsi="Times New Roman" w:cs="Times New Roman"/>
          <w:sz w:val="18"/>
          <w:szCs w:val="20"/>
        </w:rPr>
      </w:pPr>
      <w:r w:rsidRPr="00F37493">
        <w:rPr>
          <w:rFonts w:ascii="Times New Roman" w:hAnsi="Times New Roman" w:cs="Times New Roman"/>
          <w:sz w:val="18"/>
          <w:szCs w:val="20"/>
        </w:rPr>
        <w:t xml:space="preserve"> </w:t>
      </w:r>
    </w:p>
    <w:p w:rsidR="005241CA" w:rsidRPr="00097A37" w:rsidRDefault="005241CA" w:rsidP="006C15F3">
      <w:pPr>
        <w:rPr>
          <w:rFonts w:ascii="Times New Roman" w:hAnsi="Times New Roman" w:cs="Times New Roman"/>
          <w:sz w:val="18"/>
          <w:szCs w:val="20"/>
        </w:rPr>
      </w:pPr>
      <w:r w:rsidRPr="00F37493">
        <w:rPr>
          <w:rFonts w:ascii="Times New Roman" w:hAnsi="Times New Roman" w:cs="Times New Roman"/>
          <w:b/>
          <w:i/>
          <w:sz w:val="18"/>
          <w:szCs w:val="20"/>
        </w:rPr>
        <w:t xml:space="preserve">Zakup będzie finansowany z </w:t>
      </w:r>
      <w:r w:rsidR="00402E16" w:rsidRPr="00F37493">
        <w:rPr>
          <w:rFonts w:ascii="Times New Roman" w:hAnsi="Times New Roman" w:cs="Times New Roman"/>
          <w:b/>
          <w:i/>
          <w:sz w:val="18"/>
          <w:szCs w:val="20"/>
        </w:rPr>
        <w:t xml:space="preserve">projektu: </w:t>
      </w:r>
    </w:p>
    <w:p w:rsidR="00402E16" w:rsidRPr="00F37493" w:rsidRDefault="00402E16" w:rsidP="00402E16">
      <w:pPr>
        <w:jc w:val="center"/>
        <w:rPr>
          <w:rFonts w:ascii="Times New Roman" w:hAnsi="Times New Roman" w:cs="Times New Roman"/>
          <w:b/>
          <w:i/>
          <w:sz w:val="18"/>
          <w:szCs w:val="20"/>
        </w:rPr>
      </w:pPr>
      <w:r w:rsidRP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t xml:space="preserve">Badania i rozwój kluczowych technologii i procesów dla produkcji wysokoenergetycznego paliwa węglowodorowego </w:t>
      </w:r>
      <w:r w:rsidRP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br/>
        <w:t>z osadów ściekowych na drodze upłynniania hydrotermalnego i katalityc</w:t>
      </w:r>
      <w:r w:rsid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t xml:space="preserve">znego uszlachetnienia produktów  </w:t>
      </w:r>
      <w:r w:rsid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br/>
      </w:r>
      <w:r w:rsidRPr="00F37493">
        <w:rPr>
          <w:rFonts w:ascii="Times New Roman" w:hAnsi="Times New Roman" w:cs="Times New Roman"/>
          <w:b/>
          <w:i/>
          <w:sz w:val="18"/>
          <w:szCs w:val="20"/>
        </w:rPr>
        <w:t>(Akronim: HYCOSS)</w:t>
      </w:r>
    </w:p>
    <w:p w:rsidR="00402E16" w:rsidRPr="00F37493" w:rsidRDefault="00402E16" w:rsidP="00402E16">
      <w:pPr>
        <w:jc w:val="center"/>
        <w:rPr>
          <w:rFonts w:ascii="Times New Roman" w:hAnsi="Times New Roman" w:cs="Times New Roman"/>
          <w:b/>
          <w:i/>
          <w:sz w:val="18"/>
          <w:szCs w:val="20"/>
        </w:rPr>
      </w:pPr>
      <w:r w:rsidRPr="00F37493">
        <w:rPr>
          <w:rFonts w:ascii="Times New Roman" w:hAnsi="Times New Roman" w:cs="Times New Roman"/>
          <w:noProof/>
          <w:sz w:val="18"/>
          <w:szCs w:val="20"/>
          <w:lang w:eastAsia="pl-PL"/>
        </w:rPr>
        <w:drawing>
          <wp:inline distT="0" distB="0" distL="0" distR="0" wp14:anchorId="77AE9CFF" wp14:editId="00C9E1A5">
            <wp:extent cx="1752600" cy="614225"/>
            <wp:effectExtent l="0" t="0" r="0" b="0"/>
            <wp:docPr id="6" name="Obraz 6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28" cy="61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93" w:rsidRPr="00F37493" w:rsidRDefault="00F37493" w:rsidP="00F374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</w:pPr>
      <w:r w:rsidRP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t xml:space="preserve">Interdyscyplinarne studium wykonalności dla hybrydowego układu magazynowania nadwyżek energii </w:t>
      </w:r>
      <w:r w:rsidRPr="00F37493">
        <w:rPr>
          <w:rFonts w:ascii="Times New Roman" w:hAnsi="Times New Roman" w:cs="Times New Roman"/>
          <w:b/>
          <w:i/>
          <w:sz w:val="18"/>
          <w:szCs w:val="20"/>
          <w:shd w:val="clear" w:color="auto" w:fill="FFFFFF"/>
        </w:rPr>
        <w:br/>
        <w:t>w elektrowni szczytowo-pompowej w odkrywkowych kopalniach węgla (Akronim: ATLANTIS).</w:t>
      </w:r>
    </w:p>
    <w:p w:rsidR="00F37493" w:rsidRPr="00F37493" w:rsidRDefault="00F37493" w:rsidP="00F37493">
      <w:pP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20"/>
          <w:lang w:val="en-US"/>
        </w:rPr>
      </w:pPr>
      <w:r w:rsidRPr="00F37493">
        <w:rPr>
          <w:rFonts w:ascii="Times New Roman" w:hAnsi="Times New Roman" w:cs="Times New Roman"/>
          <w:noProof/>
          <w:sz w:val="18"/>
          <w:szCs w:val="20"/>
          <w:lang w:eastAsia="pl-PL"/>
        </w:rPr>
        <w:drawing>
          <wp:inline distT="0" distB="0" distL="0" distR="0" wp14:anchorId="084CCC30" wp14:editId="05420EB4">
            <wp:extent cx="3698875" cy="734060"/>
            <wp:effectExtent l="0" t="0" r="0" b="8890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93" w:rsidRPr="00F37493" w:rsidRDefault="00F37493" w:rsidP="00F3749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18"/>
          <w:szCs w:val="20"/>
        </w:rPr>
      </w:pPr>
      <w:r w:rsidRPr="00F37493">
        <w:rPr>
          <w:rFonts w:ascii="Times New Roman" w:hAnsi="Times New Roman" w:cs="Times New Roman"/>
          <w:b/>
          <w:bCs/>
          <w:i/>
          <w:sz w:val="18"/>
          <w:szCs w:val="20"/>
        </w:rPr>
        <w:t xml:space="preserve">Projekt realizowany </w:t>
      </w:r>
      <w:r w:rsidRPr="00F37493">
        <w:rPr>
          <w:rFonts w:ascii="Times New Roman" w:hAnsi="Times New Roman" w:cs="Times New Roman"/>
          <w:b/>
          <w:bCs/>
          <w:i/>
          <w:sz w:val="18"/>
          <w:szCs w:val="20"/>
        </w:rPr>
        <w:t>w ramach Funduszu Badań w obszarze Węgla i Stali (RFCS)</w:t>
      </w:r>
    </w:p>
    <w:p w:rsidR="00F37493" w:rsidRPr="00402E16" w:rsidRDefault="00F37493" w:rsidP="00402E16">
      <w:pPr>
        <w:jc w:val="center"/>
        <w:rPr>
          <w:rFonts w:ascii="Times New Roman" w:hAnsi="Times New Roman" w:cs="Times New Roman"/>
          <w:b/>
          <w:i/>
          <w:sz w:val="16"/>
          <w:szCs w:val="18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37493">
        <w:rPr>
          <w:rFonts w:ascii="Times New Roman" w:hAnsi="Times New Roman" w:cs="Times New Roman"/>
          <w:b/>
          <w:sz w:val="20"/>
          <w:szCs w:val="20"/>
        </w:rPr>
        <w:t>5748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37493">
        <w:rPr>
          <w:rFonts w:ascii="Times New Roman" w:hAnsi="Times New Roman" w:cs="Times New Roman"/>
          <w:b/>
          <w:sz w:val="20"/>
          <w:szCs w:val="20"/>
        </w:rPr>
        <w:t>23</w:t>
      </w:r>
      <w:r w:rsidR="00A86A8F">
        <w:rPr>
          <w:rFonts w:ascii="Times New Roman" w:hAnsi="Times New Roman" w:cs="Times New Roman"/>
          <w:b/>
          <w:sz w:val="20"/>
          <w:szCs w:val="20"/>
        </w:rPr>
        <w:t>/SO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F37493">
        <w:rPr>
          <w:rFonts w:ascii="Times New Roman" w:hAnsi="Times New Roman" w:cs="Times New Roman"/>
          <w:b/>
          <w:sz w:val="20"/>
          <w:szCs w:val="20"/>
        </w:rPr>
        <w:t>10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37493">
        <w:rPr>
          <w:rFonts w:ascii="Times New Roman" w:hAnsi="Times New Roman" w:cs="Times New Roman"/>
          <w:b/>
          <w:sz w:val="20"/>
          <w:szCs w:val="20"/>
        </w:rPr>
        <w:t>02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F37493">
        <w:rPr>
          <w:rFonts w:ascii="Times New Roman" w:hAnsi="Times New Roman" w:cs="Times New Roman"/>
          <w:b/>
          <w:sz w:val="20"/>
          <w:szCs w:val="20"/>
        </w:rPr>
        <w:t>3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EE00A5" w:rsidP="00D10134">
      <w:pPr>
        <w:pStyle w:val="Tekstpodstawowy"/>
      </w:pPr>
      <w:r w:rsidRPr="00EE00A5">
        <w:rPr>
          <w:b/>
          <w:u w:val="single"/>
        </w:rPr>
        <w:t>Dotyczy</w:t>
      </w:r>
      <w:r w:rsidR="00D10134" w:rsidRPr="00EE00A5">
        <w:rPr>
          <w:b/>
          <w:u w:val="single"/>
        </w:rPr>
        <w:t xml:space="preserve">: </w:t>
      </w:r>
      <w:r w:rsidR="00D10134" w:rsidRPr="00AD6A41">
        <w:rPr>
          <w:u w:val="single"/>
        </w:rPr>
        <w:t xml:space="preserve">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EE00A5">
        <w:rPr>
          <w:rFonts w:ascii="Times New Roman" w:hAnsi="Times New Roman" w:cs="Times New Roman"/>
          <w:b/>
          <w:sz w:val="20"/>
        </w:rPr>
        <w:t xml:space="preserve"> materiałów i odczynników do testów toksyczności produktów powstałych w badaniach laboratoryjnych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7F6E7B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7F6E7B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7F6E7B">
        <w:rPr>
          <w:szCs w:val="22"/>
        </w:rPr>
        <w:t>ji/przydatności (jeśli dotyczy)</w:t>
      </w:r>
      <w:r w:rsidR="007F6E7B">
        <w:rPr>
          <w:szCs w:val="22"/>
          <w:lang w:val="pl-PL"/>
        </w:rPr>
        <w:t xml:space="preserve">.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F044D8" w:rsidRDefault="00F044D8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Zamawiający wymaga wstępnej wyceny uwzględniającą każdą z n/w pozycji</w:t>
      </w:r>
    </w:p>
    <w:p w:rsidR="007032BD" w:rsidRDefault="00F044D8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527"/>
        <w:gridCol w:w="2661"/>
        <w:gridCol w:w="1134"/>
      </w:tblGrid>
      <w:tr w:rsidR="00EE00A5" w:rsidRPr="00F034B4" w:rsidTr="00EE00A5">
        <w:trPr>
          <w:trHeight w:val="242"/>
        </w:trPr>
        <w:tc>
          <w:tcPr>
            <w:tcW w:w="5527" w:type="dxa"/>
            <w:tcBorders>
              <w:bottom w:val="single" w:sz="4" w:space="0" w:color="auto"/>
            </w:tcBorders>
            <w:shd w:val="pct25" w:color="auto" w:fill="auto"/>
          </w:tcPr>
          <w:p w:rsidR="00EE00A5" w:rsidRPr="00EE00A5" w:rsidRDefault="00EE00A5" w:rsidP="00EE00A5">
            <w:pPr>
              <w:jc w:val="center"/>
              <w:rPr>
                <w:b/>
              </w:rPr>
            </w:pPr>
            <w:r w:rsidRPr="00EE00A5">
              <w:rPr>
                <w:b/>
              </w:rPr>
              <w:t xml:space="preserve">Opis </w:t>
            </w:r>
          </w:p>
        </w:tc>
        <w:tc>
          <w:tcPr>
            <w:tcW w:w="2661" w:type="dxa"/>
            <w:shd w:val="pct25" w:color="auto" w:fill="auto"/>
          </w:tcPr>
          <w:p w:rsidR="00EE00A5" w:rsidRPr="00EE00A5" w:rsidRDefault="00EE00A5" w:rsidP="00EE00A5">
            <w:pPr>
              <w:jc w:val="center"/>
              <w:rPr>
                <w:b/>
              </w:rPr>
            </w:pPr>
            <w:r w:rsidRPr="00EE00A5">
              <w:rPr>
                <w:b/>
              </w:rPr>
              <w:t>Jednostka miary</w:t>
            </w:r>
          </w:p>
        </w:tc>
        <w:tc>
          <w:tcPr>
            <w:tcW w:w="1134" w:type="dxa"/>
            <w:shd w:val="pct25" w:color="auto" w:fill="auto"/>
          </w:tcPr>
          <w:p w:rsidR="00EE00A5" w:rsidRPr="00EE00A5" w:rsidRDefault="00EE00A5" w:rsidP="00EE00A5">
            <w:pPr>
              <w:jc w:val="center"/>
              <w:rPr>
                <w:b/>
              </w:rPr>
            </w:pPr>
            <w:r w:rsidRPr="00EE00A5">
              <w:rPr>
                <w:b/>
              </w:rPr>
              <w:t>Ilość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roofErr w:type="spellStart"/>
            <w:r>
              <w:rPr>
                <w:color w:val="000000"/>
              </w:rPr>
              <w:t>Microtox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Acute</w:t>
            </w:r>
            <w:proofErr w:type="spellEnd"/>
            <w:r>
              <w:rPr>
                <w:color w:val="000000"/>
              </w:rPr>
              <w:t xml:space="preserve"> Reagent</w:t>
            </w:r>
            <w:r w:rsidRPr="00EE00A5">
              <w:rPr>
                <w:color w:val="000000"/>
              </w:rPr>
              <w:t>: 10 fiolek</w:t>
            </w:r>
            <w:r w:rsidRPr="00EE00A5">
              <w:t xml:space="preserve"> </w:t>
            </w:r>
          </w:p>
          <w:p w:rsidR="00EE00A5" w:rsidRPr="00EE00A5" w:rsidRDefault="00EE00A5" w:rsidP="00C6608D">
            <w:r w:rsidRPr="00EE00A5">
              <w:t>Liofilizowany proszek (stały) zamknięty pod próżnią. Biały lub biało-żółty. 10 szklanych fiolek zawierających około 0,20 grama substancji stałej w każdej fiolce. Odczynnik musi sp</w:t>
            </w:r>
            <w:r>
              <w:t xml:space="preserve">ełniać wymogi normy ISO 11348-3 lub równoważnej 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 xml:space="preserve">Opak. 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roofErr w:type="spellStart"/>
            <w:r w:rsidRPr="00EE00A5">
              <w:t>Microtox</w:t>
            </w:r>
            <w:proofErr w:type="spellEnd"/>
            <w:r w:rsidRPr="00EE00A5">
              <w:t xml:space="preserve"> </w:t>
            </w:r>
            <w:proofErr w:type="spellStart"/>
            <w:r w:rsidRPr="00EE00A5">
              <w:t>Disposable</w:t>
            </w:r>
            <w:proofErr w:type="spellEnd"/>
            <w:r w:rsidRPr="00EE00A5">
              <w:t xml:space="preserve"> Glass </w:t>
            </w:r>
            <w:proofErr w:type="spellStart"/>
            <w:r w:rsidRPr="00EE00A5">
              <w:t>Cuvettes</w:t>
            </w:r>
            <w:proofErr w:type="spellEnd"/>
            <w:r w:rsidRPr="00EE00A5">
              <w:t>. Kuwety szklane przeźroczyste, bezbarwne o średnicy 11 mm i wysokości 50 mm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Opak.</w:t>
            </w:r>
            <w:r w:rsidR="00D20838">
              <w:t xml:space="preserve">(1000 szt.) 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rPr>
                <w:rFonts w:cstheme="minorHAnsi"/>
              </w:rPr>
            </w:pPr>
            <w:r w:rsidRPr="00EE00A5">
              <w:t xml:space="preserve">Test </w:t>
            </w:r>
            <w:proofErr w:type="spellStart"/>
            <w:r w:rsidRPr="00EE00A5">
              <w:t>toks</w:t>
            </w:r>
            <w:proofErr w:type="spellEnd"/>
            <w:r w:rsidRPr="00EE00A5">
              <w:t xml:space="preserve">. ostrej THAMNOTOXKIT F z </w:t>
            </w:r>
            <w:proofErr w:type="spellStart"/>
            <w:r w:rsidRPr="00EE00A5">
              <w:t>Thamnocephalus</w:t>
            </w:r>
            <w:proofErr w:type="spellEnd"/>
            <w:r w:rsidRPr="00EE00A5">
              <w:t xml:space="preserve"> </w:t>
            </w:r>
            <w:proofErr w:type="spellStart"/>
            <w:r w:rsidRPr="00EE00A5">
              <w:t>platyurus</w:t>
            </w:r>
            <w:proofErr w:type="spellEnd"/>
            <w:r w:rsidRPr="00EE00A5">
              <w:t xml:space="preserve"> (wody słodkie)</w:t>
            </w:r>
            <w:r w:rsidRPr="00EE00A5">
              <w:rPr>
                <w:rFonts w:cstheme="minorHAnsi"/>
              </w:rPr>
              <w:t xml:space="preserve">Każdy zestaw </w:t>
            </w:r>
            <w:proofErr w:type="spellStart"/>
            <w:r w:rsidRPr="00EE00A5">
              <w:rPr>
                <w:rFonts w:cstheme="minorHAnsi"/>
              </w:rPr>
              <w:t>Thamnotoxkit</w:t>
            </w:r>
            <w:proofErr w:type="spellEnd"/>
            <w:r w:rsidRPr="00EE00A5">
              <w:rPr>
                <w:rFonts w:cstheme="minorHAnsi"/>
              </w:rPr>
              <w:t xml:space="preserve"> F zawiera wszystkie (jednorazowe) materiały i elementy do przeprowadzenia 6 kompletnych </w:t>
            </w:r>
            <w:proofErr w:type="spellStart"/>
            <w:r w:rsidRPr="00EE00A5">
              <w:rPr>
                <w:rFonts w:cstheme="minorHAnsi"/>
              </w:rPr>
              <w:t>biooznaczeń</w:t>
            </w:r>
            <w:proofErr w:type="spellEnd"/>
            <w:r w:rsidRPr="00EE00A5">
              <w:rPr>
                <w:rFonts w:cstheme="minorHAnsi"/>
              </w:rPr>
              <w:t xml:space="preserve"> (w układzie </w:t>
            </w:r>
            <w:r w:rsidRPr="00EE00A5">
              <w:rPr>
                <w:rFonts w:cstheme="minorHAnsi"/>
              </w:rPr>
              <w:lastRenderedPageBreak/>
              <w:t xml:space="preserve">znajdowania zakresu testu lub testu końcowego 24h LC50). Używając larw skorupiaka </w:t>
            </w:r>
            <w:proofErr w:type="spellStart"/>
            <w:r w:rsidRPr="00EE00A5">
              <w:rPr>
                <w:rFonts w:cstheme="minorHAnsi"/>
                <w:i/>
                <w:iCs/>
              </w:rPr>
              <w:t>Thamnocephalus</w:t>
            </w:r>
            <w:proofErr w:type="spellEnd"/>
            <w:r w:rsidRPr="00EE00A5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EE00A5">
              <w:rPr>
                <w:rFonts w:cstheme="minorHAnsi"/>
                <w:i/>
                <w:iCs/>
              </w:rPr>
              <w:t>platyurus</w:t>
            </w:r>
            <w:proofErr w:type="spellEnd"/>
            <w:r w:rsidRPr="00EE00A5">
              <w:rPr>
                <w:rFonts w:cstheme="minorHAnsi"/>
              </w:rPr>
              <w:t xml:space="preserve"> otrzymanych z cyst można przeprowadzić 24-godzinny test toksyczności ostrej</w:t>
            </w:r>
            <w:r w:rsidR="00694FB7">
              <w:rPr>
                <w:rFonts w:cstheme="minorHAnsi"/>
              </w:rPr>
              <w:t xml:space="preserve">, zgodnie z ISO 14380 </w:t>
            </w:r>
            <w:r w:rsidR="00694FB7">
              <w:t xml:space="preserve">lub </w:t>
            </w:r>
            <w:r w:rsidR="00F9733F">
              <w:t>norma równoważna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lastRenderedPageBreak/>
              <w:t>Opak.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2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r w:rsidRPr="00EE00A5">
              <w:lastRenderedPageBreak/>
              <w:t xml:space="preserve">10 probówek z cystami </w:t>
            </w:r>
            <w:proofErr w:type="spellStart"/>
            <w:r w:rsidRPr="00EE00A5">
              <w:t>Thamnocephalus</w:t>
            </w:r>
            <w:proofErr w:type="spellEnd"/>
            <w:r w:rsidRPr="00EE00A5">
              <w:t xml:space="preserve"> </w:t>
            </w:r>
            <w:proofErr w:type="spellStart"/>
            <w:r w:rsidRPr="00EE00A5">
              <w:t>platyurus</w:t>
            </w:r>
            <w:proofErr w:type="spellEnd"/>
            <w:r w:rsidRPr="00EE00A5">
              <w:t xml:space="preserve"> (wody słodkie).</w:t>
            </w:r>
            <w:r w:rsidRPr="00EE00A5">
              <w:rPr>
                <w:rFonts w:cstheme="minorHAnsi"/>
              </w:rPr>
              <w:t xml:space="preserve">Każda probówka zawiera cysty skorupiaka </w:t>
            </w:r>
            <w:proofErr w:type="spellStart"/>
            <w:r w:rsidRPr="00EE00A5">
              <w:rPr>
                <w:rFonts w:cstheme="minorHAnsi"/>
                <w:i/>
                <w:iCs/>
              </w:rPr>
              <w:t>Thamnocephalus</w:t>
            </w:r>
            <w:proofErr w:type="spellEnd"/>
            <w:r w:rsidRPr="00EE00A5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EE00A5">
              <w:rPr>
                <w:rFonts w:cstheme="minorHAnsi"/>
                <w:i/>
                <w:iCs/>
              </w:rPr>
              <w:t>platyurus</w:t>
            </w:r>
            <w:proofErr w:type="spellEnd"/>
            <w:r w:rsidRPr="00EE00A5">
              <w:rPr>
                <w:rFonts w:cstheme="minorHAnsi"/>
              </w:rPr>
              <w:t xml:space="preserve"> do przeprowadzenia jednego 24-godzinnego testu toksyczności ostrej.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Opak.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tabs>
                <w:tab w:val="left" w:pos="1774"/>
              </w:tabs>
            </w:pPr>
            <w:r w:rsidRPr="00EE00A5">
              <w:rPr>
                <w:rFonts w:cstheme="minorHAnsi"/>
              </w:rPr>
              <w:t xml:space="preserve">Polistyrenowe mikropipety do przenoszenia larw </w:t>
            </w:r>
            <w:proofErr w:type="spellStart"/>
            <w:r w:rsidRPr="00EE00A5">
              <w:t>Brachionus</w:t>
            </w:r>
            <w:proofErr w:type="spellEnd"/>
            <w:r w:rsidRPr="00EE00A5">
              <w:t xml:space="preserve"> </w:t>
            </w:r>
            <w:r w:rsidR="001A0697">
              <w:br/>
            </w:r>
            <w:bookmarkStart w:id="0" w:name="_GoBack"/>
            <w:bookmarkEnd w:id="0"/>
            <w:r w:rsidRPr="00EE00A5">
              <w:t xml:space="preserve">i </w:t>
            </w:r>
            <w:proofErr w:type="spellStart"/>
            <w:r w:rsidRPr="00EE00A5">
              <w:t>Thamnocephalus</w:t>
            </w:r>
            <w:proofErr w:type="spellEnd"/>
            <w:r w:rsidRPr="00EE00A5">
              <w:t xml:space="preserve"> 10 sztuk/opakowanie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Opak.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rPr>
                <w:rFonts w:cstheme="minorHAnsi"/>
              </w:rPr>
            </w:pPr>
            <w:r w:rsidRPr="00EE00A5">
              <w:t xml:space="preserve">12 </w:t>
            </w:r>
            <w:proofErr w:type="spellStart"/>
            <w:r w:rsidRPr="00EE00A5">
              <w:t>wielodołkowych</w:t>
            </w:r>
            <w:proofErr w:type="spellEnd"/>
            <w:r w:rsidRPr="00EE00A5">
              <w:t xml:space="preserve"> płytek dla testów z </w:t>
            </w:r>
            <w:proofErr w:type="spellStart"/>
            <w:r w:rsidRPr="00EE00A5">
              <w:t>Thamnocephalus</w:t>
            </w:r>
            <w:proofErr w:type="spellEnd"/>
            <w:r w:rsidRPr="00EE00A5">
              <w:t xml:space="preserve">, </w:t>
            </w:r>
            <w:proofErr w:type="spellStart"/>
            <w:r w:rsidRPr="00EE00A5">
              <w:t>Artemia</w:t>
            </w:r>
            <w:proofErr w:type="spellEnd"/>
            <w:r w:rsidRPr="00EE00A5">
              <w:t xml:space="preserve"> lub </w:t>
            </w:r>
            <w:proofErr w:type="spellStart"/>
            <w:r w:rsidRPr="00EE00A5">
              <w:t>Ceriodaphnia</w:t>
            </w:r>
            <w:proofErr w:type="spellEnd"/>
            <w:r w:rsidRPr="00EE00A5">
              <w:rPr>
                <w:rFonts w:cstheme="minorHAnsi"/>
              </w:rPr>
              <w:t>. Poliwęglanowe płytki testowe (9x13 cm) składające się z 24 dołków testowych (3 ml).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Opak.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jc w:val="both"/>
              <w:rPr>
                <w:rFonts w:cstheme="minorHAnsi"/>
              </w:rPr>
            </w:pPr>
            <w:r w:rsidRPr="00EE00A5">
              <w:t xml:space="preserve">Test </w:t>
            </w:r>
            <w:proofErr w:type="spellStart"/>
            <w:r w:rsidRPr="00EE00A5">
              <w:t>toks</w:t>
            </w:r>
            <w:proofErr w:type="spellEnd"/>
            <w:r w:rsidRPr="00EE00A5">
              <w:t xml:space="preserve">. ostrej DAPHTOXKIT F </w:t>
            </w:r>
            <w:proofErr w:type="spellStart"/>
            <w:r w:rsidRPr="00EE00A5">
              <w:t>magna</w:t>
            </w:r>
            <w:proofErr w:type="spellEnd"/>
            <w:r w:rsidRPr="00EE00A5">
              <w:t xml:space="preserve"> z </w:t>
            </w:r>
            <w:proofErr w:type="spellStart"/>
            <w:r w:rsidRPr="00EE00A5">
              <w:t>Daphnia</w:t>
            </w:r>
            <w:proofErr w:type="spellEnd"/>
            <w:r w:rsidRPr="00EE00A5">
              <w:t xml:space="preserve"> </w:t>
            </w:r>
            <w:proofErr w:type="spellStart"/>
            <w:r w:rsidRPr="00EE00A5">
              <w:t>magna</w:t>
            </w:r>
            <w:proofErr w:type="spellEnd"/>
            <w:r w:rsidRPr="00EE00A5">
              <w:t xml:space="preserve"> (wody słodkie). </w:t>
            </w:r>
            <w:r w:rsidRPr="00EE00A5">
              <w:rPr>
                <w:rFonts w:cstheme="minorHAnsi"/>
              </w:rPr>
              <w:t xml:space="preserve">Każdy zestaw </w:t>
            </w:r>
            <w:proofErr w:type="spellStart"/>
            <w:r w:rsidRPr="00EE00A5">
              <w:rPr>
                <w:rFonts w:cstheme="minorHAnsi"/>
              </w:rPr>
              <w:t>Daphtoxkit</w:t>
            </w:r>
            <w:proofErr w:type="spellEnd"/>
            <w:r w:rsidRPr="00EE00A5">
              <w:rPr>
                <w:rFonts w:cstheme="minorHAnsi"/>
              </w:rPr>
              <w:t xml:space="preserve"> zawiera wszystkie (jednorazowe) materiały i elementy do przeprowadzenia 6 kompletnych </w:t>
            </w:r>
            <w:proofErr w:type="spellStart"/>
            <w:r w:rsidRPr="00EE00A5">
              <w:rPr>
                <w:rFonts w:cstheme="minorHAnsi"/>
              </w:rPr>
              <w:t>biooznaczeń</w:t>
            </w:r>
            <w:proofErr w:type="spellEnd"/>
            <w:r w:rsidRPr="00EE00A5">
              <w:rPr>
                <w:rFonts w:cstheme="minorHAnsi"/>
              </w:rPr>
              <w:t xml:space="preserve"> (w układzie znajdowania zakresu testu lub testu końcowego 24-48h EC50)</w:t>
            </w:r>
            <w:r w:rsidR="00694FB7">
              <w:rPr>
                <w:rFonts w:cstheme="minorHAnsi"/>
              </w:rPr>
              <w:t xml:space="preserve">, zgodnie z ISO 6341 </w:t>
            </w:r>
            <w:r w:rsidR="00694FB7">
              <w:t xml:space="preserve">lub </w:t>
            </w:r>
            <w:r w:rsidR="00694FB7">
              <w:t>norma równoważna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Z</w:t>
            </w:r>
            <w:r w:rsidRPr="00F034B4">
              <w:t>estaw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2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tabs>
                <w:tab w:val="left" w:pos="2281"/>
              </w:tabs>
            </w:pPr>
            <w:r w:rsidRPr="00EE00A5">
              <w:t xml:space="preserve">10 probówek z cystami </w:t>
            </w:r>
            <w:proofErr w:type="spellStart"/>
            <w:r w:rsidRPr="00EE00A5">
              <w:t>Daphnia</w:t>
            </w:r>
            <w:proofErr w:type="spellEnd"/>
            <w:r w:rsidRPr="00EE00A5">
              <w:t xml:space="preserve"> </w:t>
            </w:r>
            <w:proofErr w:type="spellStart"/>
            <w:r w:rsidRPr="00EE00A5">
              <w:t>magna</w:t>
            </w:r>
            <w:proofErr w:type="spellEnd"/>
            <w:r w:rsidRPr="00EE00A5">
              <w:t xml:space="preserve"> (wody słodkie). </w:t>
            </w:r>
            <w:r w:rsidRPr="00EE00A5">
              <w:rPr>
                <w:rFonts w:cstheme="minorHAnsi"/>
              </w:rPr>
              <w:t xml:space="preserve">Każda probówka zawiera </w:t>
            </w:r>
            <w:proofErr w:type="spellStart"/>
            <w:r w:rsidRPr="00EE00A5">
              <w:rPr>
                <w:rFonts w:cstheme="minorHAnsi"/>
              </w:rPr>
              <w:t>effipie</w:t>
            </w:r>
            <w:proofErr w:type="spellEnd"/>
            <w:r w:rsidRPr="00EE00A5">
              <w:rPr>
                <w:rFonts w:cstheme="minorHAnsi"/>
              </w:rPr>
              <w:t xml:space="preserve"> skorupiaka </w:t>
            </w:r>
            <w:proofErr w:type="spellStart"/>
            <w:r w:rsidRPr="00EE00A5">
              <w:rPr>
                <w:rFonts w:cstheme="minorHAnsi"/>
                <w:i/>
                <w:iCs/>
              </w:rPr>
              <w:t>Daphnia</w:t>
            </w:r>
            <w:proofErr w:type="spellEnd"/>
            <w:r w:rsidRPr="00EE00A5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EE00A5">
              <w:rPr>
                <w:rFonts w:cstheme="minorHAnsi"/>
                <w:i/>
                <w:iCs/>
              </w:rPr>
              <w:t>magna</w:t>
            </w:r>
            <w:proofErr w:type="spellEnd"/>
            <w:r w:rsidRPr="00EE00A5">
              <w:rPr>
                <w:rFonts w:cstheme="minorHAnsi"/>
              </w:rPr>
              <w:t xml:space="preserve"> do przeprowadzenia jednego 48-godzinnego testu toksyczności ostrej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Opak.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2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jc w:val="both"/>
              <w:rPr>
                <w:rFonts w:cstheme="minorHAnsi"/>
              </w:rPr>
            </w:pPr>
            <w:r w:rsidRPr="00EE00A5">
              <w:t xml:space="preserve">PHYTOTOXKIT dla fazy ciekłej z 3 roślinami. </w:t>
            </w:r>
            <w:r w:rsidRPr="00EE00A5">
              <w:rPr>
                <w:rFonts w:cstheme="minorHAnsi"/>
              </w:rPr>
              <w:t xml:space="preserve">Test </w:t>
            </w:r>
            <w:proofErr w:type="spellStart"/>
            <w:r w:rsidRPr="00EE00A5">
              <w:rPr>
                <w:rFonts w:cstheme="minorHAnsi"/>
              </w:rPr>
              <w:t>Phytotestkit</w:t>
            </w:r>
            <w:proofErr w:type="spellEnd"/>
            <w:r w:rsidRPr="00EE00A5">
              <w:rPr>
                <w:rFonts w:cstheme="minorHAnsi"/>
              </w:rPr>
              <w:t xml:space="preserve"> analizuje dwa efekty: </w:t>
            </w:r>
          </w:p>
          <w:p w:rsidR="00EE00A5" w:rsidRPr="00EE00A5" w:rsidRDefault="00EE00A5" w:rsidP="00EE00A5">
            <w:pPr>
              <w:numPr>
                <w:ilvl w:val="0"/>
                <w:numId w:val="41"/>
              </w:numPr>
              <w:jc w:val="both"/>
              <w:rPr>
                <w:rFonts w:cstheme="minorHAnsi"/>
              </w:rPr>
            </w:pPr>
            <w:r w:rsidRPr="00EE00A5">
              <w:rPr>
                <w:rFonts w:cstheme="minorHAnsi"/>
              </w:rPr>
              <w:t>Oddziaływanie związku chemicznego na kiełkowanie nasion, w odniesieniu do nieskażonej próbki kontrolnej</w:t>
            </w:r>
          </w:p>
          <w:p w:rsidR="00EE00A5" w:rsidRPr="00EE00A5" w:rsidRDefault="00EE00A5" w:rsidP="00EE00A5">
            <w:pPr>
              <w:numPr>
                <w:ilvl w:val="0"/>
                <w:numId w:val="41"/>
              </w:numPr>
              <w:jc w:val="both"/>
              <w:rPr>
                <w:rFonts w:cstheme="minorHAnsi"/>
              </w:rPr>
            </w:pPr>
            <w:r w:rsidRPr="00EE00A5">
              <w:rPr>
                <w:rFonts w:cstheme="minorHAnsi"/>
              </w:rPr>
              <w:t>Oddziaływanie związku chemicznego na rośliny we wczesnej fazie wzrostu, w odniesieniu do nieskażonej próbki kontrolnej</w:t>
            </w:r>
          </w:p>
          <w:p w:rsidR="00EE00A5" w:rsidRPr="00EE00A5" w:rsidRDefault="00EE00A5" w:rsidP="00C6608D">
            <w:pPr>
              <w:jc w:val="both"/>
              <w:rPr>
                <w:rFonts w:cstheme="minorHAnsi"/>
              </w:rPr>
            </w:pPr>
            <w:proofErr w:type="spellStart"/>
            <w:r w:rsidRPr="00EE00A5">
              <w:rPr>
                <w:rFonts w:cstheme="minorHAnsi"/>
                <w:u w:val="single"/>
              </w:rPr>
              <w:t>Phytotestkit</w:t>
            </w:r>
            <w:proofErr w:type="spellEnd"/>
            <w:r w:rsidRPr="00EE00A5">
              <w:rPr>
                <w:rFonts w:cstheme="minorHAnsi"/>
                <w:u w:val="single"/>
              </w:rPr>
              <w:t xml:space="preserve"> test końcowy</w:t>
            </w:r>
            <w:r w:rsidRPr="00EE00A5">
              <w:rPr>
                <w:rFonts w:cstheme="minorHAnsi"/>
              </w:rPr>
              <w:t xml:space="preserve"> jest dostarczany z 3 gatunkami nasion, które zostały wyselekcjonowane, uwzględniając szybkość kiełkowania i szybkość wzrostu korzeni i pędów, co umożliwia wykonanie pełnego oznaczenia tylko w ciągu 3 dni inkubacji. 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Z</w:t>
            </w:r>
            <w:r w:rsidRPr="00F034B4">
              <w:t>estaw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2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tabs>
                <w:tab w:val="left" w:pos="2062"/>
              </w:tabs>
            </w:pPr>
            <w:r w:rsidRPr="00EE00A5">
              <w:t xml:space="preserve">Test </w:t>
            </w:r>
            <w:proofErr w:type="spellStart"/>
            <w:r w:rsidRPr="00EE00A5">
              <w:t>toks</w:t>
            </w:r>
            <w:proofErr w:type="spellEnd"/>
            <w:r w:rsidRPr="00EE00A5">
              <w:t>. chronicznej PROTOXKIT F z Tetrahymena</w:t>
            </w:r>
          </w:p>
          <w:p w:rsidR="00EE00A5" w:rsidRPr="00EE00A5" w:rsidRDefault="00EE00A5" w:rsidP="00C6608D">
            <w:pPr>
              <w:tabs>
                <w:tab w:val="left" w:pos="2062"/>
              </w:tabs>
              <w:rPr>
                <w:rFonts w:cstheme="minorHAnsi"/>
                <w:bCs/>
              </w:rPr>
            </w:pPr>
            <w:proofErr w:type="spellStart"/>
            <w:r w:rsidRPr="00EE00A5">
              <w:t>thermophila</w:t>
            </w:r>
            <w:proofErr w:type="spellEnd"/>
            <w:r w:rsidRPr="00EE00A5">
              <w:t xml:space="preserve"> (wody słodkie). </w:t>
            </w:r>
            <w:r w:rsidRPr="00EE00A5">
              <w:rPr>
                <w:rFonts w:cstheme="minorHAnsi"/>
                <w:bCs/>
              </w:rPr>
              <w:t xml:space="preserve">Każdy zestaw </w:t>
            </w:r>
            <w:proofErr w:type="spellStart"/>
            <w:r w:rsidRPr="00EE00A5">
              <w:rPr>
                <w:rFonts w:cstheme="minorHAnsi"/>
                <w:bCs/>
              </w:rPr>
              <w:t>Protoxkit</w:t>
            </w:r>
            <w:proofErr w:type="spellEnd"/>
            <w:r w:rsidRPr="00EE00A5">
              <w:rPr>
                <w:rFonts w:cstheme="minorHAnsi"/>
                <w:bCs/>
              </w:rPr>
              <w:t xml:space="preserve"> zawiera wszystkie (jednorazowe) materiały i elementy do przeprowadzenia 6 kompletnych 24-godzinnych </w:t>
            </w:r>
            <w:proofErr w:type="spellStart"/>
            <w:r w:rsidRPr="00EE00A5">
              <w:rPr>
                <w:rFonts w:cstheme="minorHAnsi"/>
                <w:bCs/>
              </w:rPr>
              <w:t>biooznaczeń</w:t>
            </w:r>
            <w:proofErr w:type="spellEnd"/>
            <w:r w:rsidRPr="00EE00A5">
              <w:rPr>
                <w:rFonts w:cstheme="minorHAnsi"/>
                <w:bCs/>
              </w:rPr>
              <w:t xml:space="preserve"> (jedna kontrola i 5 rozcieńczeń, każde w powtórzeniu).</w:t>
            </w:r>
          </w:p>
        </w:tc>
        <w:tc>
          <w:tcPr>
            <w:tcW w:w="2661" w:type="dxa"/>
          </w:tcPr>
          <w:p w:rsidR="00EE00A5" w:rsidRPr="00F034B4" w:rsidRDefault="00EE00A5" w:rsidP="00EE00A5">
            <w:pPr>
              <w:jc w:val="center"/>
            </w:pPr>
            <w:r>
              <w:t>Z</w:t>
            </w:r>
            <w:r w:rsidRPr="00F034B4">
              <w:t>estaw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2</w:t>
            </w:r>
          </w:p>
        </w:tc>
      </w:tr>
      <w:tr w:rsidR="00EE00A5" w:rsidRPr="00F034B4" w:rsidTr="00EE00A5">
        <w:tc>
          <w:tcPr>
            <w:tcW w:w="5527" w:type="dxa"/>
            <w:shd w:val="clear" w:color="auto" w:fill="auto"/>
          </w:tcPr>
          <w:p w:rsidR="00EE00A5" w:rsidRPr="00EE00A5" w:rsidRDefault="00EE00A5" w:rsidP="00C6608D">
            <w:pPr>
              <w:jc w:val="both"/>
              <w:rPr>
                <w:rFonts w:cstheme="minorHAnsi"/>
              </w:rPr>
            </w:pPr>
            <w:r w:rsidRPr="00EE00A5">
              <w:rPr>
                <w:rFonts w:cstheme="minorHAnsi"/>
              </w:rPr>
              <w:t xml:space="preserve">100 jednorazowych polistyrenowych, spektrofotometrycznych kuwet (dl. 1 cm) z przykrywką, służące jako kuwety testowe, umożliwiające odczyt gęstości optycznej w kolorymetrze lub spektrofotometrze. </w:t>
            </w:r>
          </w:p>
        </w:tc>
        <w:tc>
          <w:tcPr>
            <w:tcW w:w="2661" w:type="dxa"/>
          </w:tcPr>
          <w:p w:rsidR="00EE00A5" w:rsidRPr="00F034B4" w:rsidRDefault="00097A37" w:rsidP="00EE00A5">
            <w:pPr>
              <w:jc w:val="center"/>
            </w:pPr>
            <w:r>
              <w:t xml:space="preserve">Opak. (100 szt.) </w:t>
            </w:r>
            <w:r w:rsidR="00EE00A5">
              <w:t xml:space="preserve"> </w:t>
            </w:r>
          </w:p>
        </w:tc>
        <w:tc>
          <w:tcPr>
            <w:tcW w:w="1134" w:type="dxa"/>
          </w:tcPr>
          <w:p w:rsidR="00EE00A5" w:rsidRPr="00F034B4" w:rsidRDefault="00EE00A5" w:rsidP="00EE00A5">
            <w:pPr>
              <w:jc w:val="center"/>
            </w:pPr>
            <w:r w:rsidRPr="00F034B4">
              <w:t>1</w:t>
            </w:r>
          </w:p>
        </w:tc>
      </w:tr>
    </w:tbl>
    <w:p w:rsidR="00E43A5E" w:rsidRPr="00997160" w:rsidRDefault="00E43A5E" w:rsidP="00E43A5E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F9733F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A10A5C">
        <w:rPr>
          <w:rFonts w:ascii="Times New Roman" w:hAnsi="Times New Roman"/>
          <w:b/>
          <w:sz w:val="20"/>
          <w:szCs w:val="20"/>
          <w:highlight w:val="yellow"/>
          <w:u w:val="single"/>
        </w:rPr>
        <w:t>1</w:t>
      </w:r>
      <w:r w:rsidR="00675A96">
        <w:rPr>
          <w:rFonts w:ascii="Times New Roman" w:hAnsi="Times New Roman"/>
          <w:b/>
          <w:sz w:val="20"/>
          <w:szCs w:val="20"/>
          <w:highlight w:val="yellow"/>
          <w:u w:val="single"/>
        </w:rPr>
        <w:t>5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F9733F">
        <w:rPr>
          <w:rFonts w:ascii="Times New Roman" w:hAnsi="Times New Roman"/>
          <w:b/>
          <w:sz w:val="20"/>
          <w:szCs w:val="20"/>
          <w:highlight w:val="yellow"/>
          <w:u w:val="single"/>
        </w:rPr>
        <w:t>02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</w:t>
      </w:r>
      <w:r w:rsidR="00F9733F">
        <w:rPr>
          <w:rFonts w:ascii="Times New Roman" w:hAnsi="Times New Roman"/>
          <w:b/>
          <w:sz w:val="20"/>
          <w:szCs w:val="20"/>
          <w:highlight w:val="yellow"/>
          <w:u w:val="single"/>
        </w:rPr>
        <w:t>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2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3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4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9733F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</w:t>
      </w:r>
      <w:r w:rsidR="00F9733F">
        <w:rPr>
          <w:b/>
          <w:i/>
          <w:lang w:val="pl-PL"/>
        </w:rPr>
        <w:t xml:space="preserve">Zamówień Publicznych i Zakupów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58F68DB7" wp14:editId="05A77CDA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9733F">
        <w:rPr>
          <w:rFonts w:ascii="Times New Roman" w:hAnsi="Times New Roman" w:cs="Times New Roman"/>
          <w:b/>
          <w:sz w:val="20"/>
          <w:szCs w:val="20"/>
        </w:rPr>
        <w:t>FZ</w:t>
      </w:r>
      <w:r w:rsidR="00F9733F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F9733F">
        <w:rPr>
          <w:rFonts w:ascii="Times New Roman" w:hAnsi="Times New Roman" w:cs="Times New Roman"/>
          <w:b/>
          <w:sz w:val="20"/>
          <w:szCs w:val="20"/>
        </w:rPr>
        <w:t>5748</w:t>
      </w:r>
      <w:r w:rsidR="00F9733F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F9733F">
        <w:rPr>
          <w:rFonts w:ascii="Times New Roman" w:hAnsi="Times New Roman" w:cs="Times New Roman"/>
          <w:b/>
          <w:sz w:val="20"/>
          <w:szCs w:val="20"/>
        </w:rPr>
        <w:t>23/SO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Pr="00F9733F" w:rsidRDefault="00D10134" w:rsidP="00B406BB">
      <w:pPr>
        <w:pStyle w:val="Default"/>
        <w:jc w:val="center"/>
        <w:rPr>
          <w:rFonts w:ascii="Times New Roman" w:hAnsi="Times New Roman"/>
          <w:b/>
          <w:sz w:val="18"/>
          <w:u w:val="single"/>
        </w:rPr>
      </w:pPr>
      <w:r w:rsidRPr="00F9733F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F9733F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F9733F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F9733F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F9733F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F9733F" w:rsidRPr="00F9733F">
        <w:rPr>
          <w:rFonts w:ascii="Times New Roman" w:hAnsi="Times New Roman" w:cs="Times New Roman"/>
          <w:b/>
          <w:sz w:val="20"/>
          <w:u w:val="single"/>
        </w:rPr>
        <w:t xml:space="preserve">materiałów i odczynników do testów toksyczności produktów powstałych </w:t>
      </w:r>
      <w:r w:rsidR="00F9733F">
        <w:rPr>
          <w:rFonts w:ascii="Times New Roman" w:hAnsi="Times New Roman" w:cs="Times New Roman"/>
          <w:b/>
          <w:sz w:val="20"/>
          <w:u w:val="single"/>
        </w:rPr>
        <w:br/>
      </w:r>
      <w:r w:rsidR="00F9733F" w:rsidRPr="00F9733F">
        <w:rPr>
          <w:rFonts w:ascii="Times New Roman" w:hAnsi="Times New Roman" w:cs="Times New Roman"/>
          <w:b/>
          <w:sz w:val="20"/>
          <w:u w:val="single"/>
        </w:rPr>
        <w:t>w badaniach laboratoryjnych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ADD" w:rsidRDefault="00276ADD" w:rsidP="000575F2">
      <w:pPr>
        <w:spacing w:after="0" w:line="240" w:lineRule="auto"/>
      </w:pPr>
      <w:r>
        <w:separator/>
      </w:r>
    </w:p>
  </w:endnote>
  <w:endnote w:type="continuationSeparator" w:id="0">
    <w:p w:rsidR="00276ADD" w:rsidRDefault="00276AD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ADD" w:rsidRDefault="00276ADD" w:rsidP="000575F2">
      <w:pPr>
        <w:spacing w:after="0" w:line="240" w:lineRule="auto"/>
      </w:pPr>
      <w:r>
        <w:separator/>
      </w:r>
    </w:p>
  </w:footnote>
  <w:footnote w:type="continuationSeparator" w:id="0">
    <w:p w:rsidR="00276ADD" w:rsidRDefault="00276AD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276ADD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1A0697" w:rsidRPr="001A069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1A0697" w:rsidRPr="001A069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A5339"/>
    <w:multiLevelType w:val="hybridMultilevel"/>
    <w:tmpl w:val="59EC1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3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4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10"/>
  </w:num>
  <w:num w:numId="4">
    <w:abstractNumId w:val="14"/>
  </w:num>
  <w:num w:numId="5">
    <w:abstractNumId w:val="29"/>
  </w:num>
  <w:num w:numId="6">
    <w:abstractNumId w:val="23"/>
  </w:num>
  <w:num w:numId="7">
    <w:abstractNumId w:val="25"/>
  </w:num>
  <w:num w:numId="8">
    <w:abstractNumId w:val="4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9"/>
    <w:lvlOverride w:ilvl="0">
      <w:startOverride w:val="1"/>
    </w:lvlOverride>
  </w:num>
  <w:num w:numId="13">
    <w:abstractNumId w:val="8"/>
  </w:num>
  <w:num w:numId="14">
    <w:abstractNumId w:val="24"/>
  </w:num>
  <w:num w:numId="15">
    <w:abstractNumId w:val="17"/>
  </w:num>
  <w:num w:numId="16">
    <w:abstractNumId w:val="35"/>
    <w:lvlOverride w:ilvl="0">
      <w:startOverride w:val="1"/>
    </w:lvlOverride>
  </w:num>
  <w:num w:numId="17">
    <w:abstractNumId w:val="6"/>
  </w:num>
  <w:num w:numId="18">
    <w:abstractNumId w:val="36"/>
  </w:num>
  <w:num w:numId="19">
    <w:abstractNumId w:val="21"/>
  </w:num>
  <w:num w:numId="20">
    <w:abstractNumId w:val="37"/>
  </w:num>
  <w:num w:numId="21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1"/>
  </w:num>
  <w:num w:numId="25">
    <w:abstractNumId w:val="22"/>
  </w:num>
  <w:num w:numId="26">
    <w:abstractNumId w:val="19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0"/>
  </w:num>
  <w:num w:numId="31">
    <w:abstractNumId w:val="15"/>
  </w:num>
  <w:num w:numId="32">
    <w:abstractNumId w:val="1"/>
  </w:num>
  <w:num w:numId="33">
    <w:abstractNumId w:val="28"/>
  </w:num>
  <w:num w:numId="34">
    <w:abstractNumId w:val="33"/>
  </w:num>
  <w:num w:numId="35">
    <w:abstractNumId w:val="7"/>
  </w:num>
  <w:num w:numId="36">
    <w:abstractNumId w:val="9"/>
  </w:num>
  <w:num w:numId="37">
    <w:abstractNumId w:val="20"/>
  </w:num>
  <w:num w:numId="38">
    <w:abstractNumId w:val="3"/>
  </w:num>
  <w:num w:numId="39">
    <w:abstractNumId w:val="38"/>
  </w:num>
  <w:num w:numId="40">
    <w:abstractNumId w:val="26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97A37"/>
    <w:rsid w:val="000A6F15"/>
    <w:rsid w:val="000B27A8"/>
    <w:rsid w:val="000B4F96"/>
    <w:rsid w:val="000D1627"/>
    <w:rsid w:val="000D2FC9"/>
    <w:rsid w:val="000D7AFD"/>
    <w:rsid w:val="000D7CEE"/>
    <w:rsid w:val="000E2DE7"/>
    <w:rsid w:val="000E68F9"/>
    <w:rsid w:val="00123D02"/>
    <w:rsid w:val="00146E15"/>
    <w:rsid w:val="00151FE8"/>
    <w:rsid w:val="0018584E"/>
    <w:rsid w:val="00190B58"/>
    <w:rsid w:val="0019336A"/>
    <w:rsid w:val="00194293"/>
    <w:rsid w:val="001A0697"/>
    <w:rsid w:val="001A3B42"/>
    <w:rsid w:val="001C64B0"/>
    <w:rsid w:val="001C674E"/>
    <w:rsid w:val="001C7A45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76ADD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35D08"/>
    <w:rsid w:val="00637F8F"/>
    <w:rsid w:val="00640BE0"/>
    <w:rsid w:val="00642FAC"/>
    <w:rsid w:val="00650FEA"/>
    <w:rsid w:val="00667EF3"/>
    <w:rsid w:val="00675A96"/>
    <w:rsid w:val="00694190"/>
    <w:rsid w:val="00694FB7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0A5C"/>
    <w:rsid w:val="00A11F64"/>
    <w:rsid w:val="00A128AA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20838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3FAA"/>
    <w:rsid w:val="00E93860"/>
    <w:rsid w:val="00E96A65"/>
    <w:rsid w:val="00EB6911"/>
    <w:rsid w:val="00EB7CCA"/>
    <w:rsid w:val="00EC3600"/>
    <w:rsid w:val="00EC5C62"/>
    <w:rsid w:val="00EE00A5"/>
    <w:rsid w:val="00EE3180"/>
    <w:rsid w:val="00F02FCD"/>
    <w:rsid w:val="00F044D8"/>
    <w:rsid w:val="00F312CB"/>
    <w:rsid w:val="00F332EA"/>
    <w:rsid w:val="00F3551D"/>
    <w:rsid w:val="00F35614"/>
    <w:rsid w:val="00F37493"/>
    <w:rsid w:val="00F71F0A"/>
    <w:rsid w:val="00F95386"/>
    <w:rsid w:val="00F9733F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CAF5-AEEC-4B7B-8241-86C962C3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1140</Words>
  <Characters>6841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244</cp:revision>
  <cp:lastPrinted>2017-02-10T13:07:00Z</cp:lastPrinted>
  <dcterms:created xsi:type="dcterms:W3CDTF">2020-03-19T11:09:00Z</dcterms:created>
  <dcterms:modified xsi:type="dcterms:W3CDTF">2023-02-10T07:47:00Z</dcterms:modified>
</cp:coreProperties>
</file>