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5563/KB/21/BL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455E49">
        <w:rPr>
          <w:rFonts w:ascii="Times New Roman" w:hAnsi="Times New Roman" w:cs="Times New Roman"/>
          <w:b/>
          <w:sz w:val="20"/>
          <w:szCs w:val="20"/>
        </w:rPr>
        <w:t>9.08.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Default="005571CB" w:rsidP="00455E49">
      <w:pPr>
        <w:spacing w:after="0" w:line="240" w:lineRule="auto"/>
        <w:jc w:val="center"/>
        <w:rPr>
          <w:b/>
          <w:lang w:eastAsia="ja-JP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</w:t>
      </w:r>
      <w:r w:rsidR="00455E49"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tanowisk</w:t>
      </w:r>
      <w:r w:rsid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</w:t>
      </w:r>
      <w:r w:rsidR="00455E49"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drganiowe</w:t>
      </w:r>
      <w:r w:rsid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go</w:t>
      </w:r>
      <w:r w:rsidR="00455E49"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do badań osprzętu i przewodów</w:t>
      </w: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>, ewentualnej instalacji, szkolenia</w:t>
      </w:r>
      <w:r w:rsidR="009A6403">
        <w:rPr>
          <w:lang w:val="pl-PL"/>
        </w:rPr>
        <w:t xml:space="preserve">), </w:t>
      </w:r>
    </w:p>
    <w:p w:rsidR="00B00F0B" w:rsidRPr="009A6403" w:rsidRDefault="00B00F0B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 xml:space="preserve">-     Nazwę producenta, typ / model oraz opis techniczny zaoferowanego urządzenia,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455E49" w:rsidRPr="00455E49" w:rsidRDefault="00455E49" w:rsidP="00455E49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Stanowisko drganiowe do badań osprzętu i przewodów.</w:t>
      </w:r>
    </w:p>
    <w:p w:rsidR="00455E49" w:rsidRPr="00455E49" w:rsidRDefault="00455E49" w:rsidP="00455E49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</w:pPr>
    </w:p>
    <w:p w:rsidR="00455E49" w:rsidRDefault="00455E49" w:rsidP="00455E49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Przedmiotem zamówienia jest dostawa kompletnego stanowiska do badań przewodów i elementów elektroenergetycznych linii napowietrznych – przewodów fazowych, osprzętu liniowego, osprzętu przewodowego, tłumików drgań eolskich oraz przewodów z włóknami światłowodowych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.</w:t>
      </w:r>
    </w:p>
    <w:p w:rsidR="00455E49" w:rsidRPr="007300B5" w:rsidRDefault="00455E49" w:rsidP="00455E49">
      <w:pPr>
        <w:spacing w:after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300B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Stanowisko będzie elementem pracowni, którą Zamawiający planuje poddać procesowi akredytacji wg norm </w:t>
      </w:r>
    </w:p>
    <w:p w:rsidR="00455E49" w:rsidRPr="007300B5" w:rsidRDefault="00455E49" w:rsidP="00455E49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 w:rsidRPr="007300B5">
        <w:rPr>
          <w:rFonts w:ascii="Times New Roman" w:eastAsia="Calibri" w:hAnsi="Times New Roman" w:cs="Times New Roman"/>
        </w:rPr>
        <w:t xml:space="preserve">PN-EN-60794-1-21, </w:t>
      </w:r>
    </w:p>
    <w:p w:rsidR="00455E49" w:rsidRPr="007300B5" w:rsidRDefault="00455E49" w:rsidP="00455E49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 w:rsidRPr="007300B5">
        <w:rPr>
          <w:rFonts w:ascii="Times New Roman" w:eastAsia="Calibri" w:hAnsi="Times New Roman" w:cs="Times New Roman"/>
        </w:rPr>
        <w:t xml:space="preserve">IEC-61854-2020-11E, </w:t>
      </w:r>
    </w:p>
    <w:p w:rsidR="00455E49" w:rsidRPr="007300B5" w:rsidRDefault="00455E49" w:rsidP="00455E49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 w:rsidRPr="007300B5">
        <w:rPr>
          <w:rFonts w:ascii="Times New Roman" w:eastAsia="Calibri" w:hAnsi="Times New Roman" w:cs="Times New Roman"/>
        </w:rPr>
        <w:t xml:space="preserve">IEC-61897-2020-12E, </w:t>
      </w:r>
    </w:p>
    <w:p w:rsidR="00455E49" w:rsidRPr="007300B5" w:rsidRDefault="00455E49" w:rsidP="00455E49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 w:rsidRPr="007300B5">
        <w:rPr>
          <w:rFonts w:ascii="Times New Roman" w:eastAsia="Calibri" w:hAnsi="Times New Roman" w:cs="Times New Roman"/>
        </w:rPr>
        <w:t xml:space="preserve">Standard PSE-TS.OPGW.NN PL/2013v1 oraz </w:t>
      </w:r>
      <w:r w:rsidRPr="007300B5">
        <w:rPr>
          <w:rFonts w:ascii="Times New Roman" w:eastAsia="Times New Roman" w:hAnsi="Times New Roman" w:cs="Times New Roman"/>
          <w:sz w:val="24"/>
          <w:szCs w:val="24"/>
          <w:lang w:eastAsia="pl-PL"/>
        </w:rPr>
        <w:t>PSE-SF. Linia 400kV.6 PL/2020v1</w:t>
      </w:r>
      <w:r w:rsidRPr="007300B5">
        <w:rPr>
          <w:rFonts w:ascii="Times New Roman" w:eastAsia="Calibri" w:hAnsi="Times New Roman" w:cs="Times New Roman"/>
        </w:rPr>
        <w:t xml:space="preserve"> – przewód OPGW i osprzęt OPGW</w:t>
      </w:r>
    </w:p>
    <w:p w:rsidR="00455E49" w:rsidRPr="007300B5" w:rsidRDefault="00455E49" w:rsidP="00455E49">
      <w:pPr>
        <w:spacing w:after="0"/>
        <w:ind w:firstLine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5E49" w:rsidRPr="00455E49" w:rsidRDefault="00455E49" w:rsidP="00455E49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7300B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Stanowisko należy skonfigurować w sposób należyty, aby realizowało wyżej przytoczone 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badania obciążeń dynamicznych, spełniając poniższe wymagania funkcjonalne: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Zmienne przekroje badanych przewodów do min. 525mm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>2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Długość minimalna badanych układów z przewodami </w:t>
      </w: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t>35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[m] 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Naciąg przewodu o sile min. 30kN (+/-5%), z możliwością zmiany siły naciągu przed rozpoczęciem badania, 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Wymuszenie harmoniczne przewodu o sile co najmniej 10kN (+/-5%), z możliwością zmiany siły wymuszenia w trakcie badania,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płynnej nastawy zmiennej pozycji układu wymuszającego obciążenia dynamiczne, przed rozpoczęciem badania, wzdłuż badanego przewodu,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Gotowość do realizacji badania w czasie mniej niż 60sek., licząc od czasu zamontowania elementów badanych na stanowisku, do rozpoczęcia cyklu badawczego zgodnego z normą,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Pomiar i rejestracja w dziedzinie czasu i częstotliwości przebiegów zmiennych sił, przemieszczeń i przyspieszeń, w wybranych 6x punktach pomiarowych, o prędkości próbkowania, dynamice i parametrach nie gorszych niż przytoczone powyżej wymagania normatywne oraz w dalszej części opisu </w:t>
      </w: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t>stanowiska,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Zdolność układu wymuszającego do pobudzeń harmonicznych w przedziale częstotliwości wymaganych przez wskazane normy oraz całkowitemu zniekształceniu harmonicznemu ruchu wymuszającego poniżej 10% w całym zakresie częstotliwości przez badania normatywne.</w:t>
      </w:r>
    </w:p>
    <w:p w:rsidR="00455E49" w:rsidRPr="00455E49" w:rsidRDefault="00455E49" w:rsidP="00455E49">
      <w:p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55E49" w:rsidRPr="00455E49" w:rsidRDefault="00455E49" w:rsidP="00455E49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Elementy składowe stanowiska, muszą spełniać następujące minimalne parametry techniczne: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Układ wymuszenia obciążeń dynamicznych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o następujących parametrach:</w:t>
      </w:r>
    </w:p>
    <w:p w:rsidR="00455E49" w:rsidRDefault="00455E49" w:rsidP="00455E49">
      <w:pPr>
        <w:pStyle w:val="Akapitzlist"/>
        <w:numPr>
          <w:ilvl w:val="0"/>
          <w:numId w:val="30"/>
        </w:numPr>
        <w:spacing w:after="0" w:line="240" w:lineRule="auto"/>
        <w:ind w:firstLine="1063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Maksymalne wychylenie elementu wykonawczego, do pobudzeń harmonicznych, nie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</w:t>
      </w:r>
    </w:p>
    <w:p w:rsidR="00455E49" w:rsidRPr="00455E49" w:rsidRDefault="00455E49" w:rsidP="00455E49">
      <w:pPr>
        <w:spacing w:after="0" w:line="240" w:lineRule="auto"/>
        <w:ind w:left="1483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mniej niż 50mm p-p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t>Maksymalne obciążenie statyczne elementu wykonawczego w osi Z: nie mniej niż 280kg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t>Masa ruchoma elementu wykonawczego, nie większa niż 12kg, masa liczona bez osprzętu do chwytania próbek,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t>Rezonans zespołu wibroizolacji układu wymuszeń dynamicznych, poniżej 5Hz.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Średnica elementu wykonawczego nie mniejsza niż 210mm, zawierająca co najmniej 17x otworów montażowych M8 do mocowania osprzętu do chwytania badanych próbek,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Masa całkowita układu wymuszającego obciążenia dynamiczne, nie większa niż 1000kg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Chłodzenie układu wymuszeń dostosowane do pracy w zmiennej pozycji wymuszenia, na odcinku min. 35 [m] wzdłuż badanego przewodu,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Układ kontrolno pomiarowy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sterowania wymuszeń dynamicznych: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 najmniej 2x kanały analogowe wejściowe typu BNC, o rozdzielczości przetwornika A/C 24bit, do pomiaru amplitud przemieszczenia i przyspieszenia, przetwornikami piezoelektrycznymi typu IEPE oraz ładunkowymi typu CHARGE, z możliwością przyszłej rozbudowy do co najmniej 16x kanałów analogowych, gniazda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Co najmniej 1x kanał analogowy wyjściowy typu BNC, o rozdzielczości przetwornika C/A minimum 16bit, do generowania sygnału napięciowego +/-10V AC, sterującego układem wymuszeń dynamicznych,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Interfejs łączności z PC za pomocą USB lub LAN,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konfiguracji sygnałów cyfrowych WE/WY, do wsparcia procesu kontroli badania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generowania sygnału harmonicznego w zakresie od 1Hz do 5000Hz, z nadążnym sterowaniem układem wymuszenia obciążeniami dynamicznymi w pętli sprzężenia zwrotnego, zapewniając zadaną amplitudę i częstotliwość drgań na elemencie wykonawczym oraz badanej próbce,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identyfikowania, śledzenia oraz utrzymania częstotliwości rezonansowej badanej próbki, za pomocą porównania dwóch sygnałów pomiarowych z kanału 1 oraz 2,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generowania sygnału harmonicznego w zakresie od 1Hz do 5000Hz, bez nadążnej pętli sterującej, z możliwością pomiaru odpowiedzi pobudzanego układu za pomocą co najmniej 2x kanałów wejściowych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podglądu na niezależnym wyświetlaczu LCD układu kontrolnego: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generowanej częstotliwości, 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statusu układu kontrolnego,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alarmów lub ostrzeżeń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Zawiera wyłącznik bezpieczeństwa, zatrzymujący generowany sygnał z nastawnym opóźnieniem.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Licencja oprogramowania kontrolno-pomiarowego, przypisana do karty sterującej, bez konieczności odblokowywania funkcjonalności układu kontrolno-pomiarowego, dodatkowymi kluczami programowymi lub sprzętowymi (np. USB dongle)</w:t>
      </w:r>
    </w:p>
    <w:p w:rsidR="00455E49" w:rsidRPr="00455E49" w:rsidRDefault="00455E49" w:rsidP="00455E49">
      <w:pPr>
        <w:spacing w:after="0"/>
        <w:ind w:left="216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Układ pomiarowo-rejestrujący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archiwizacji przebiegu badania, o następujących właściwościach: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Zapewnia rejestrację czasu trwania badania, ilość zrealizowanych cykli wymuszeń dynamicznych oraz amplitud zmierzonych cykli dla wybranych punktów pomiarowych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Posiada co najmniej 6x wejść pomiarowych, zapewniających funkcjonalność pełnego- pół- i ćwierć-mostka (120 Ohm i 320 Ohm) oraz pomiaru napięcia – wszystkie funkcje nastawne z poziomu oprogramowania karty, typu DSUB9, z czego co najmniej 1x umożliwia podłączenie przetwornika typu IEPE,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Możliwość zwiększenia funkcjonalności w/w wejść, poprzez zastosowanie dodatkowych adapterów typu DSUB9, umożliwiających funkcje wejścia: dla przetworników IEPE, termopar, przetworników rezystancyjnych, LVDT, piezoelektrycznych ładunkowych,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Rozdzielczość przetwornika A/C co najmniej 24bit,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Prędkość próbkowania sygnałów, co najmniej 20kS/s na kanał, bez redukcji prędkości przy zwiększeniu ilości kanałów podczas synchronicznego pomiaru,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Możliwość pomiaru sygnałów surowych oraz filtrowanych w dziedzinie czasu oraz częstotliwości, 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Filtry sygnałowe nastawne: anty-aliasingowe, zmiennej nastawnej częstotliwości odcięcia, dolno- i górno- przepustowe, śledzące, 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zaawansowanych obliczeń funkcyjnych na mierzonym sygnale, w czasie rzeczywistym, zarówno w dziedzinie czasu i jak i częstotliwości, takie jak: statystyka (MIN/MAX/RMS/MEAN/Peak-Peak, itd.), całkowanie, różniczkowanie, działania algebraiczne, analiza FFT, obliczanie średnich kroczących i zaawansowane obliczenia korelacji sygnałów,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Podgląd sygnału w formie okna oscyloskopowego, rejestratora taśmowego, analizatora widma , miernika cyfrowego, itd.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rejestracji mierzonego surowego sygnału w dziedzinie czasu oraz sygnału przeliczonego wybranymi funkcjami, o długości ograniczonej pojemnością wskazanego dysku rejestracji: z możliwością wskazania zewnętrznego dysku twardego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Możliwość podglądu oraz post-analizy i przetwarzania zarejestrowanego wcześniej sygnału, za pomocą dostarczonego oprogramowania o wyżej wymienionej funkcjonalności, na dowolnej ilości komputerów klasy PC,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Wejścia pomiarowe zabezpieczone przed przepięciem 50V (ciągłe) oraz 200V (chwilowe 10ms)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Zakres temperatury pracy układu pomiarowego od -40’C do +85’C,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Szczelność układu pomiarowego IP67,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Licencja oprogramowania pomiarowo-rejestrującego, przypisana do karty pomiarowej, bez konieczności odblokowywania funkcjonalności układu pomiarowego, dodatkowymi kluczami programowymi lub sprzętowymi (np. USB dongle),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Interfejs komunikacji z PC za pomocą LAN, z możliwością połączenia większej ilości kompatybilnych wielokanałowych kart pomiarowych, zapewniając synchronizację sygnału pomiarowego ze wszystkich połączonych kart,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Zawiera komputer typu przenośnego (laptop) o następujących właściwościach: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przekątna ekranu 15,6”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procesor co najmniej Intel Core i5 </w:t>
      </w:r>
      <w:r w:rsidRPr="00455E49">
        <w:rPr>
          <w:rFonts w:ascii="Times New Roman" w:eastAsia="Times New Roman" w:hAnsi="Times New Roman" w:cs="Times New Roman"/>
          <w:sz w:val="20"/>
          <w:szCs w:val="20"/>
          <w:lang w:eastAsia="pl-PL"/>
        </w:rPr>
        <w:t>(lub równoważny),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minimum cztery rdzenie, 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pamięć RAM co najmniej16 GB,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dysk SSD co najmniej 512TB,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złącze HDMI pełnowymiarowe, USB (min. trzy) w tym USB 3.0 (min. dwa),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karta sieciowa min. 1 Gb/s, złącze Ethernet, WiFi i Bluetooth,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czytnik kart pamięci,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klawiatura pełnowymiarowa z klawiaturą numeryczną,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system operacyjny Windows 10 Pro, 64 bit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akumulator i zasilacz sieciowy,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torba,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Zawiera przetwornik przyspieszenia typu IEPE, o właściwościach: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zakres częstotliwości przynajmniej 1Hz – 5kHz (dla odchylania charakterystyki czułości ±5%),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zakres maksymalny ≥98 [m/s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>2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] (peak),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czułość przetwornika min. 500 [mV/g]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waga - maksymalnie 10 gram,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złącze – z boku obudowy,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przewód sygnałowy o długości min. 20 [m] zakończony wtykiem BNC, </w:t>
      </w:r>
    </w:p>
    <w:p w:rsidR="00455E49" w:rsidRPr="00455E49" w:rsidRDefault="00455E49" w:rsidP="00455E49">
      <w:pPr>
        <w:numPr>
          <w:ilvl w:val="3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wkręt montażowy i adapter adhezyjny do jego przymocowania.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Zestaw uchwytów oraz osprzętu</w:t>
      </w: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niezbędnych do realizacji badań zgodnie z przytoczonymi normami, zapewniając: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Naciąg badanych przewodów min. 30 [kN]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>Regulację siły naciągu przewodów od 1 [kN] do 30 [kN]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Odległość między podporami naciągowymi przewodów, nie mniej niż 35 [m]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Gniazdo do pomiaru siły naciągu badanych przewodów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Uchwyty do sprzężenia badanych przewodów o różnych przekrojach, z elementem wykonawczym pobudzającym do obciążeń dynamicznych – 2x szt., 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Płynne prowadzenie układu do wymuszeń dynamicznych wzdłuż badanego przewodu, zapewniając przemieszczenie pod dowolny odcinek próbki i zmienną pozycję pracy, na całej długości stanowiska badawczego, tj. 35 [m],</w:t>
      </w:r>
    </w:p>
    <w:p w:rsidR="00455E49" w:rsidRPr="00455E49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Bezkolizyjne prowadzenie przewodów sygnałowych, zasilających oraz chłodzących stanowisko badawcze, </w:t>
      </w:r>
    </w:p>
    <w:p w:rsidR="00455E49" w:rsidRPr="00455E49" w:rsidRDefault="00455E49" w:rsidP="00455E49">
      <w:pPr>
        <w:spacing w:after="0"/>
        <w:ind w:left="216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55E49" w:rsidRPr="00455E49" w:rsidRDefault="00455E49" w:rsidP="00455E49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Wykonawca, w ramach realizacji dostawy, zapewnia następujący zakres prac: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Kompleksowa dostawa w docelowe miejsce pracy,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Montaż elementów składowych stanowiska, integrację wszystkich podzespołów,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Instalacja kompletnego stanowiska badawczego w docelowym miejscu pracy,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Ustawienie i osiowanie wszystkich podzespołów,</w:t>
      </w:r>
    </w:p>
    <w:p w:rsidR="00455E49" w:rsidRPr="00455E49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Uruchomienie stanowiska i testy rozruchowe,</w:t>
      </w:r>
    </w:p>
    <w:p w:rsidR="00455E49" w:rsidRPr="007300B5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0B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Próby odbiorcze, zgodnie z procedurami badawczymi opisanymi w normach </w:t>
      </w:r>
    </w:p>
    <w:p w:rsidR="00455E49" w:rsidRPr="007300B5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0B5">
        <w:rPr>
          <w:rFonts w:ascii="Times New Roman" w:eastAsia="Calibri" w:hAnsi="Times New Roman" w:cs="Times New Roman"/>
        </w:rPr>
        <w:t xml:space="preserve">PN-EN-60794-1-21, </w:t>
      </w:r>
    </w:p>
    <w:p w:rsidR="00455E49" w:rsidRPr="007300B5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0B5">
        <w:rPr>
          <w:rFonts w:ascii="Times New Roman" w:eastAsia="Calibri" w:hAnsi="Times New Roman" w:cs="Times New Roman"/>
        </w:rPr>
        <w:t xml:space="preserve">IEC-61854-2020-11E, </w:t>
      </w:r>
    </w:p>
    <w:p w:rsidR="00455E49" w:rsidRPr="007300B5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0B5">
        <w:rPr>
          <w:rFonts w:ascii="Times New Roman" w:eastAsia="Calibri" w:hAnsi="Times New Roman" w:cs="Times New Roman"/>
        </w:rPr>
        <w:t xml:space="preserve">IEC-61897-2020-12E, </w:t>
      </w:r>
    </w:p>
    <w:p w:rsidR="00455E49" w:rsidRPr="007300B5" w:rsidRDefault="00455E49" w:rsidP="00455E49">
      <w:pPr>
        <w:numPr>
          <w:ilvl w:val="2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0B5">
        <w:rPr>
          <w:rFonts w:ascii="Times New Roman" w:eastAsia="Calibri" w:hAnsi="Times New Roman" w:cs="Times New Roman"/>
        </w:rPr>
        <w:t>Standard PSE-TS.OPGW.NN PL/2013v1 – przewód OPGE i osprzęt OPGW oraz aktualnie standardy w w/w zakresie</w:t>
      </w:r>
    </w:p>
    <w:p w:rsidR="00455E49" w:rsidRPr="007300B5" w:rsidRDefault="00455E49" w:rsidP="00455E49">
      <w:pPr>
        <w:numPr>
          <w:ilvl w:val="1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0B5">
        <w:rPr>
          <w:rFonts w:ascii="Times New Roman" w:eastAsia="Calibri" w:hAnsi="Times New Roman" w:cs="Times New Roman"/>
        </w:rPr>
        <w:t>Szkolenie personelu Zamawiającego z obsługi i eksploatacji stanowiska badawczego, minimum 1x dzień</w:t>
      </w:r>
    </w:p>
    <w:p w:rsidR="00455E49" w:rsidRPr="00455E49" w:rsidRDefault="00455E49" w:rsidP="00455E49">
      <w:pPr>
        <w:spacing w:after="0"/>
        <w:ind w:firstLine="28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55E49" w:rsidRPr="00455E49" w:rsidRDefault="00455E49" w:rsidP="00455E49">
      <w:pPr>
        <w:spacing w:after="0"/>
        <w:ind w:firstLine="284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455E49" w:rsidRPr="00455E49" w:rsidRDefault="00455E49" w:rsidP="00455E49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7300B5">
        <w:rPr>
          <w:rFonts w:ascii="Times New Roman" w:hAnsi="Times New Roman"/>
          <w:b/>
          <w:sz w:val="20"/>
          <w:szCs w:val="20"/>
          <w:highlight w:val="yellow"/>
          <w:u w:val="single"/>
        </w:rPr>
        <w:t>24.08.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="007300B5" w:rsidRPr="002A6D0D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7300B5">
        <w:rPr>
          <w:rFonts w:ascii="Times New Roman" w:hAnsi="Times New Roman" w:cs="Times New Roman"/>
          <w:sz w:val="18"/>
          <w:szCs w:val="20"/>
        </w:rPr>
        <w:t>Krystyna Bula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7300B5">
        <w:rPr>
          <w:rFonts w:ascii="Times New Roman" w:hAnsi="Times New Roman" w:cs="Times New Roman"/>
          <w:sz w:val="18"/>
          <w:szCs w:val="20"/>
        </w:rPr>
        <w:t>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2" w:history="1">
        <w:r w:rsidR="007300B5" w:rsidRPr="002A6D0D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29DEF0B" wp14:editId="1FE84619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D9D"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2CD60367" wp14:editId="294D437C">
            <wp:simplePos x="0" y="0"/>
            <wp:positionH relativeFrom="page">
              <wp:posOffset>976630</wp:posOffset>
            </wp:positionH>
            <wp:positionV relativeFrom="page">
              <wp:posOffset>817245</wp:posOffset>
            </wp:positionV>
            <wp:extent cx="5908964" cy="1468582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AD6A41">
        <w:rPr>
          <w:sz w:val="20"/>
          <w:szCs w:val="20"/>
        </w:rPr>
        <w:t>Nr sprawy:</w:t>
      </w:r>
      <w:r w:rsidR="00D10134" w:rsidRPr="00AD6A41">
        <w:rPr>
          <w:b/>
          <w:sz w:val="20"/>
          <w:szCs w:val="20"/>
        </w:rPr>
        <w:t xml:space="preserve"> FZ-1/</w:t>
      </w:r>
      <w:r w:rsidR="00791A85">
        <w:rPr>
          <w:b/>
          <w:sz w:val="20"/>
          <w:szCs w:val="20"/>
        </w:rPr>
        <w:t>5563/BK/21/BL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91A85" w:rsidRDefault="00D10134" w:rsidP="00791A8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DB2D9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DB2D9D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5C1058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791A85" w:rsidRDefault="00791A85" w:rsidP="00791A85">
      <w:pPr>
        <w:spacing w:after="0" w:line="240" w:lineRule="auto"/>
        <w:jc w:val="center"/>
        <w:rPr>
          <w:b/>
          <w:lang w:eastAsia="ja-JP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</w:t>
      </w: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tanowisk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</w:t>
      </w: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drganiowe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go</w:t>
      </w: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do badań osprzętu i przewodów</w:t>
      </w:r>
    </w:p>
    <w:p w:rsidR="00FF5398" w:rsidRDefault="00FF5398" w:rsidP="00DB2D9D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(</w:t>
            </w:r>
            <w:r w:rsidR="008249EF">
              <w:rPr>
                <w:rFonts w:ascii="Times New Roman" w:hAnsi="Times New Roman"/>
                <w:sz w:val="20"/>
                <w:szCs w:val="20"/>
                <w:lang w:val="pl-PL"/>
              </w:rPr>
              <w:t>nazwa producenta,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typ/model, opis techniczny)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7A9" w:rsidRDefault="00A467A9" w:rsidP="000575F2">
      <w:pPr>
        <w:spacing w:after="0" w:line="240" w:lineRule="auto"/>
      </w:pPr>
      <w:r>
        <w:separator/>
      </w:r>
    </w:p>
  </w:endnote>
  <w:endnote w:type="continuationSeparator" w:id="0">
    <w:p w:rsidR="00A467A9" w:rsidRDefault="00A467A9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7A9" w:rsidRDefault="00A467A9" w:rsidP="000575F2">
      <w:pPr>
        <w:spacing w:after="0" w:line="240" w:lineRule="auto"/>
      </w:pPr>
      <w:r>
        <w:separator/>
      </w:r>
    </w:p>
  </w:footnote>
  <w:footnote w:type="continuationSeparator" w:id="0">
    <w:p w:rsidR="00A467A9" w:rsidRDefault="00A467A9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A467A9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157CE" w:rsidRPr="008157C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157CE" w:rsidRPr="008157C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3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4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6"/>
  </w:num>
  <w:num w:numId="4">
    <w:abstractNumId w:val="9"/>
  </w:num>
  <w:num w:numId="5">
    <w:abstractNumId w:val="20"/>
  </w:num>
  <w:num w:numId="6">
    <w:abstractNumId w:val="16"/>
  </w:num>
  <w:num w:numId="7">
    <w:abstractNumId w:val="18"/>
  </w:num>
  <w:num w:numId="8">
    <w:abstractNumId w:val="30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8"/>
    <w:lvlOverride w:ilvl="0">
      <w:startOverride w:val="1"/>
    </w:lvlOverride>
  </w:num>
  <w:num w:numId="13">
    <w:abstractNumId w:val="5"/>
  </w:num>
  <w:num w:numId="14">
    <w:abstractNumId w:val="17"/>
  </w:num>
  <w:num w:numId="15">
    <w:abstractNumId w:val="11"/>
  </w:num>
  <w:num w:numId="16">
    <w:abstractNumId w:val="25"/>
    <w:lvlOverride w:ilvl="0">
      <w:startOverride w:val="1"/>
    </w:lvlOverride>
  </w:num>
  <w:num w:numId="17">
    <w:abstractNumId w:val="4"/>
  </w:num>
  <w:num w:numId="18">
    <w:abstractNumId w:val="26"/>
  </w:num>
  <w:num w:numId="19">
    <w:abstractNumId w:val="14"/>
  </w:num>
  <w:num w:numId="20">
    <w:abstractNumId w:val="27"/>
  </w:num>
  <w:num w:numId="21">
    <w:abstractNumId w:val="2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2"/>
  </w:num>
  <w:num w:numId="25">
    <w:abstractNumId w:val="15"/>
  </w:num>
  <w:num w:numId="26">
    <w:abstractNumId w:val="13"/>
  </w:num>
  <w:num w:numId="27">
    <w:abstractNumId w:val="1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1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6827"/>
    <w:rsid w:val="008157CE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A5302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82A40-5D35-401F-963E-F031073B3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2042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2021-08-10T10:16:00Z</cp:lastPrinted>
  <dcterms:created xsi:type="dcterms:W3CDTF">2021-08-10T10:34:00Z</dcterms:created>
  <dcterms:modified xsi:type="dcterms:W3CDTF">2021-08-10T10:34:00Z</dcterms:modified>
</cp:coreProperties>
</file>