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885D5F" w:rsidRDefault="00885D5F" w:rsidP="002B5755">
      <w:pPr>
        <w:rPr>
          <w:rFonts w:ascii="Times New Roman" w:eastAsia="Calibri" w:hAnsi="Times New Roman" w:cs="Times New Roman"/>
          <w:b/>
        </w:rPr>
      </w:pPr>
    </w:p>
    <w:p w:rsidR="002B5755" w:rsidRPr="006E78D3" w:rsidRDefault="00FC5435" w:rsidP="00885D5F">
      <w:pPr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 xml:space="preserve"> FZ-1/5</w:t>
      </w:r>
      <w:r w:rsidR="006A4945">
        <w:rPr>
          <w:rFonts w:ascii="Times New Roman" w:eastAsia="Calibri" w:hAnsi="Times New Roman" w:cs="Times New Roman"/>
          <w:b/>
        </w:rPr>
        <w:t>3</w:t>
      </w:r>
      <w:r w:rsidRPr="00FC5435">
        <w:rPr>
          <w:rFonts w:ascii="Times New Roman" w:eastAsia="Calibri" w:hAnsi="Times New Roman" w:cs="Times New Roman"/>
          <w:b/>
        </w:rPr>
        <w:t>83/KB/20/SC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>
        <w:rPr>
          <w:rFonts w:ascii="Times New Roman" w:eastAsia="Calibri" w:hAnsi="Times New Roman" w:cs="Times New Roman"/>
          <w:b/>
        </w:rPr>
        <w:t>3.08.2020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części zamiennych </w:t>
      </w:r>
      <w:r w:rsidR="00FC543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do urządzeń posiadanych przez Zamawiającego:</w:t>
      </w:r>
    </w:p>
    <w:p w:rsidR="00FC5435" w:rsidRPr="005B7E75" w:rsidRDefault="00FC5435" w:rsidP="00FC5435">
      <w:pPr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bCs/>
          <w:i/>
        </w:rPr>
        <w:t xml:space="preserve">Część 1  : </w:t>
      </w:r>
      <w:r w:rsidRPr="005B7E75">
        <w:rPr>
          <w:rFonts w:ascii="Times New Roman" w:eastAsia="Calibri" w:hAnsi="Times New Roman" w:cs="Times New Roman"/>
          <w:b/>
          <w:i/>
        </w:rPr>
        <w:t xml:space="preserve">Elementy eksploatacyjne  do posiadanego przez Zamawiającego analizatora </w:t>
      </w:r>
      <w:proofErr w:type="spellStart"/>
      <w:r w:rsidRPr="005B7E75">
        <w:rPr>
          <w:rFonts w:ascii="Times New Roman" w:eastAsia="Calibri" w:hAnsi="Times New Roman" w:cs="Times New Roman"/>
          <w:b/>
          <w:i/>
        </w:rPr>
        <w:t>Morphologi</w:t>
      </w:r>
      <w:proofErr w:type="spellEnd"/>
      <w:r w:rsidRPr="005B7E75">
        <w:rPr>
          <w:rFonts w:ascii="Times New Roman" w:eastAsia="Calibri" w:hAnsi="Times New Roman" w:cs="Times New Roman"/>
          <w:b/>
          <w:i/>
        </w:rPr>
        <w:t xml:space="preserve"> G3S-I</w:t>
      </w:r>
    </w:p>
    <w:p w:rsidR="005B7E7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bCs/>
          <w:i/>
        </w:rPr>
      </w:pPr>
      <w:r w:rsidRPr="005B7E75">
        <w:rPr>
          <w:rFonts w:ascii="Times New Roman" w:eastAsia="Calibri" w:hAnsi="Times New Roman" w:cs="Times New Roman"/>
          <w:b/>
          <w:bCs/>
          <w:i/>
        </w:rPr>
        <w:t xml:space="preserve"> Część 2 : Materiały eksploatacyjne do posiadanych przez Zamawiającego chromatografów jonowych</w:t>
      </w:r>
    </w:p>
    <w:p w:rsidR="00FC5435" w:rsidRPr="005B7E75" w:rsidRDefault="005B7E75" w:rsidP="00FC5435">
      <w:pPr>
        <w:spacing w:after="0" w:line="240" w:lineRule="auto"/>
        <w:rPr>
          <w:rFonts w:ascii="Times New Roman" w:eastAsia="Calibri" w:hAnsi="Times New Roman" w:cs="Times New Roman"/>
          <w:b/>
          <w:i/>
          <w:lang w:eastAsia="pl-PL"/>
        </w:rPr>
      </w:pPr>
      <w:r>
        <w:rPr>
          <w:rFonts w:ascii="Times New Roman" w:eastAsia="Calibri" w:hAnsi="Times New Roman" w:cs="Times New Roman"/>
          <w:b/>
          <w:bCs/>
          <w:i/>
        </w:rPr>
        <w:t xml:space="preserve">               </w:t>
      </w:r>
      <w:r w:rsidR="00FC5435" w:rsidRPr="005B7E75">
        <w:rPr>
          <w:rFonts w:ascii="Times New Roman" w:eastAsia="Calibri" w:hAnsi="Times New Roman" w:cs="Times New Roman"/>
          <w:b/>
          <w:bCs/>
          <w:i/>
        </w:rPr>
        <w:t xml:space="preserve"> DIONEX ICS-5000, </w:t>
      </w:r>
      <w:r w:rsidRPr="005B7E75">
        <w:rPr>
          <w:rFonts w:ascii="Times New Roman" w:eastAsia="Calibri" w:hAnsi="Times New Roman" w:cs="Times New Roman"/>
          <w:b/>
          <w:bCs/>
          <w:i/>
        </w:rPr>
        <w:t xml:space="preserve">       </w:t>
      </w:r>
      <w:r w:rsidR="00FC5435" w:rsidRPr="005B7E75">
        <w:rPr>
          <w:rFonts w:ascii="Times New Roman" w:eastAsia="Calibri" w:hAnsi="Times New Roman" w:cs="Times New Roman"/>
          <w:b/>
          <w:bCs/>
          <w:i/>
        </w:rPr>
        <w:t>ICS-2500, ICS-1100</w:t>
      </w:r>
      <w:r w:rsidR="00FC5435" w:rsidRPr="005B7E75">
        <w:rPr>
          <w:rFonts w:ascii="Times New Roman" w:eastAsia="Calibri" w:hAnsi="Times New Roman" w:cs="Times New Roman"/>
          <w:b/>
          <w:i/>
          <w:lang w:eastAsia="pl-PL"/>
        </w:rPr>
        <w:t xml:space="preserve"> </w:t>
      </w:r>
    </w:p>
    <w:p w:rsidR="005B7E75" w:rsidRPr="005B7E75" w:rsidRDefault="005B7E75" w:rsidP="00FC5435">
      <w:pPr>
        <w:spacing w:after="0" w:line="240" w:lineRule="auto"/>
        <w:rPr>
          <w:rFonts w:ascii="Times New Roman" w:eastAsia="Calibri" w:hAnsi="Times New Roman" w:cs="Times New Roman"/>
          <w:b/>
          <w:i/>
          <w:lang w:eastAsia="pl-PL"/>
        </w:rPr>
      </w:pPr>
    </w:p>
    <w:p w:rsidR="005B7E7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i/>
          <w:lang w:eastAsia="pl-PL"/>
        </w:rPr>
        <w:t xml:space="preserve">Część 3 : </w:t>
      </w:r>
      <w:r w:rsidRPr="005B7E75">
        <w:rPr>
          <w:rFonts w:ascii="Times New Roman" w:eastAsia="Calibri" w:hAnsi="Times New Roman" w:cs="Times New Roman"/>
          <w:b/>
          <w:i/>
        </w:rPr>
        <w:t xml:space="preserve">Materiały eksploatacyjne dla posiadanych przez Zamawiającego spektrometrów ICPMS </w:t>
      </w:r>
      <w:proofErr w:type="spellStart"/>
      <w:r w:rsidRPr="005B7E75">
        <w:rPr>
          <w:rFonts w:ascii="Times New Roman" w:eastAsia="Calibri" w:hAnsi="Times New Roman" w:cs="Times New Roman"/>
          <w:b/>
          <w:i/>
        </w:rPr>
        <w:t>NexIon</w:t>
      </w:r>
      <w:proofErr w:type="spellEnd"/>
      <w:r w:rsidRPr="005B7E75">
        <w:rPr>
          <w:rFonts w:ascii="Times New Roman" w:eastAsia="Calibri" w:hAnsi="Times New Roman" w:cs="Times New Roman"/>
          <w:b/>
          <w:i/>
        </w:rPr>
        <w:t xml:space="preserve"> 300s </w:t>
      </w:r>
    </w:p>
    <w:p w:rsidR="00FC5435" w:rsidRPr="005B7E75" w:rsidRDefault="005B7E75" w:rsidP="00FC5435">
      <w:pPr>
        <w:spacing w:after="0" w:line="240" w:lineRule="auto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            </w:t>
      </w:r>
      <w:r w:rsidR="00FC5435" w:rsidRPr="005B7E75">
        <w:rPr>
          <w:rFonts w:ascii="Times New Roman" w:eastAsia="Calibri" w:hAnsi="Times New Roman" w:cs="Times New Roman"/>
          <w:b/>
          <w:i/>
        </w:rPr>
        <w:t xml:space="preserve">oraz ICPOES </w:t>
      </w:r>
      <w:r w:rsidRPr="005B7E75">
        <w:rPr>
          <w:rFonts w:ascii="Times New Roman" w:eastAsia="Calibri" w:hAnsi="Times New Roman" w:cs="Times New Roman"/>
          <w:b/>
          <w:i/>
        </w:rPr>
        <w:t xml:space="preserve">   </w:t>
      </w:r>
      <w:r w:rsidR="00FC5435" w:rsidRPr="005B7E75">
        <w:rPr>
          <w:rFonts w:ascii="Times New Roman" w:eastAsia="Calibri" w:hAnsi="Times New Roman" w:cs="Times New Roman"/>
          <w:b/>
          <w:i/>
        </w:rPr>
        <w:t>Optima 5300DV oraz do analizatora rtęci SMS100</w:t>
      </w:r>
    </w:p>
    <w:p w:rsidR="005B7E75" w:rsidRPr="005B7E75" w:rsidRDefault="005B7E75" w:rsidP="00FC5435">
      <w:pPr>
        <w:spacing w:after="0" w:line="240" w:lineRule="auto"/>
        <w:rPr>
          <w:rFonts w:ascii="Times New Roman" w:eastAsia="Calibri" w:hAnsi="Times New Roman" w:cs="Times New Roman"/>
          <w:b/>
          <w:i/>
        </w:rPr>
      </w:pPr>
    </w:p>
    <w:p w:rsidR="00FC5435" w:rsidRPr="005B7E75" w:rsidRDefault="00FC5435" w:rsidP="00FC5435">
      <w:pPr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i/>
          <w:lang w:eastAsia="pl-PL"/>
        </w:rPr>
        <w:t xml:space="preserve">Część 4 : </w:t>
      </w:r>
      <w:r w:rsidRPr="005B7E75">
        <w:rPr>
          <w:rFonts w:ascii="Times New Roman" w:eastAsia="Calibri" w:hAnsi="Times New Roman" w:cs="Times New Roman"/>
          <w:b/>
          <w:i/>
        </w:rPr>
        <w:t xml:space="preserve">Materiały eksploatacyjne dla posiadanego przez Zamawiającego analizatora rtęci SMS100 </w:t>
      </w:r>
    </w:p>
    <w:p w:rsidR="00FC5435" w:rsidRPr="005B7E75" w:rsidRDefault="00FC5435" w:rsidP="00FC5435">
      <w:pPr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i/>
        </w:rPr>
        <w:t>Część 5. Elementy eksploatacyjne do analizatorów: SC 500, CHS 900, N-580 oraz kalorymetru C5010</w:t>
      </w:r>
    </w:p>
    <w:p w:rsidR="005B7E75" w:rsidRDefault="00FC5435" w:rsidP="00FC5435">
      <w:pPr>
        <w:spacing w:after="0" w:line="36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 Część 6 : Elementy eksploatacyjne do posiadanych przez Zamawiającego  mierników WTW:  </w:t>
      </w:r>
      <w:r w:rsid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</w:p>
    <w:p w:rsidR="00FC5435" w:rsidRPr="005B7E75" w:rsidRDefault="005B7E75" w:rsidP="00FC5435">
      <w:pPr>
        <w:spacing w:after="0" w:line="36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b/>
          <w:i/>
          <w:lang w:eastAsia="pl-PL"/>
        </w:rPr>
        <w:t xml:space="preserve">              </w:t>
      </w:r>
      <w:proofErr w:type="spellStart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>pH</w:t>
      </w:r>
      <w:proofErr w:type="spellEnd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/ION/Cond750 , </w:t>
      </w:r>
      <w:proofErr w:type="spellStart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>multi</w:t>
      </w:r>
      <w:proofErr w:type="spellEnd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 350I </w:t>
      </w:r>
      <w:r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  </w:t>
      </w:r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i 3320 </w:t>
      </w:r>
      <w:r w:rsidR="00FC5435" w:rsidRPr="005B7E75">
        <w:rPr>
          <w:rFonts w:ascii="Times New Roman" w:eastAsia="Times New Roman" w:hAnsi="Times New Roman" w:cs="Times New Roman"/>
          <w:b/>
          <w:i/>
          <w:color w:val="FF0000"/>
          <w:lang w:eastAsia="pl-PL"/>
        </w:rPr>
        <w:t xml:space="preserve">  </w:t>
      </w:r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oraz   sondy </w:t>
      </w:r>
      <w:proofErr w:type="spellStart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>TriOxmatic</w:t>
      </w:r>
      <w:proofErr w:type="spellEnd"/>
      <w:r w:rsidR="00FC5435" w:rsidRPr="005B7E75">
        <w:rPr>
          <w:rFonts w:ascii="Times New Roman" w:eastAsia="Times New Roman" w:hAnsi="Times New Roman" w:cs="Times New Roman"/>
          <w:b/>
          <w:i/>
          <w:lang w:eastAsia="pl-PL"/>
        </w:rPr>
        <w:t>.</w:t>
      </w:r>
    </w:p>
    <w:p w:rsidR="005B7E75" w:rsidRDefault="00FC5435" w:rsidP="005B7E75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i/>
        </w:rPr>
        <w:t xml:space="preserve">Część 7 : Materiały eksploatacyjne  do posiadanego przez Zamawiającego analizatora AOX MultiX2000 oraz </w:t>
      </w:r>
      <w:r w:rsidR="005B7E75">
        <w:rPr>
          <w:rFonts w:ascii="Times New Roman" w:eastAsia="Calibri" w:hAnsi="Times New Roman" w:cs="Times New Roman"/>
          <w:b/>
          <w:i/>
        </w:rPr>
        <w:t xml:space="preserve"> </w:t>
      </w:r>
    </w:p>
    <w:p w:rsidR="00FC5435" w:rsidRPr="005B7E75" w:rsidRDefault="005B7E75" w:rsidP="005B7E75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             </w:t>
      </w:r>
      <w:r w:rsidR="00FC5435" w:rsidRPr="005B7E75">
        <w:rPr>
          <w:rFonts w:ascii="Times New Roman" w:eastAsia="Calibri" w:hAnsi="Times New Roman" w:cs="Times New Roman"/>
          <w:b/>
          <w:i/>
        </w:rPr>
        <w:t xml:space="preserve">AOX </w:t>
      </w:r>
      <w:r w:rsidRPr="005B7E75">
        <w:rPr>
          <w:rFonts w:ascii="Times New Roman" w:eastAsia="Calibri" w:hAnsi="Times New Roman" w:cs="Times New Roman"/>
          <w:b/>
          <w:i/>
        </w:rPr>
        <w:t xml:space="preserve">      </w:t>
      </w:r>
      <w:r w:rsidR="00FC5435" w:rsidRPr="005B7E75">
        <w:rPr>
          <w:rFonts w:ascii="Times New Roman" w:eastAsia="Calibri" w:hAnsi="Times New Roman" w:cs="Times New Roman"/>
          <w:b/>
          <w:i/>
        </w:rPr>
        <w:t>MultiX2500</w:t>
      </w:r>
    </w:p>
    <w:p w:rsidR="00FC5435" w:rsidRPr="005B7E75" w:rsidRDefault="00FC5435" w:rsidP="00FC5435">
      <w:pPr>
        <w:rPr>
          <w:rFonts w:ascii="Times New Roman" w:eastAsia="Calibri" w:hAnsi="Times New Roman" w:cs="Times New Roman"/>
          <w:b/>
          <w:bCs/>
          <w:i/>
        </w:rPr>
      </w:pPr>
      <w:r w:rsidRPr="005B7E75">
        <w:rPr>
          <w:rFonts w:ascii="Times New Roman" w:eastAsia="Calibri" w:hAnsi="Times New Roman" w:cs="Times New Roman"/>
          <w:b/>
          <w:i/>
          <w:lang w:eastAsia="pl-PL"/>
        </w:rPr>
        <w:t xml:space="preserve">Część 8 : </w:t>
      </w:r>
      <w:r w:rsidRPr="005B7E75">
        <w:rPr>
          <w:rFonts w:ascii="Times New Roman" w:eastAsia="Times New Roman" w:hAnsi="Times New Roman" w:cs="Times New Roman"/>
          <w:b/>
          <w:i/>
          <w:lang w:eastAsia="pl-PL"/>
        </w:rPr>
        <w:t>Materiały eksploatacyjne do posiadanych  przez Zamawiającego zmywarek LANCER INDUSTRIE</w:t>
      </w:r>
    </w:p>
    <w:p w:rsidR="00FC5435" w:rsidRPr="005B7E75" w:rsidRDefault="00FC5435" w:rsidP="005B7E75">
      <w:pPr>
        <w:spacing w:line="360" w:lineRule="auto"/>
        <w:ind w:left="283" w:hanging="283"/>
        <w:contextualSpacing/>
        <w:rPr>
          <w:rFonts w:ascii="Times New Roman" w:eastAsia="Calibri" w:hAnsi="Times New Roman" w:cs="Times New Roman"/>
          <w:b/>
          <w:i/>
        </w:rPr>
      </w:pPr>
      <w:r w:rsidRPr="005B7E75">
        <w:rPr>
          <w:rFonts w:ascii="Times New Roman" w:eastAsia="Calibri" w:hAnsi="Times New Roman" w:cs="Times New Roman"/>
          <w:b/>
          <w:i/>
        </w:rPr>
        <w:t xml:space="preserve">Część 9 : Elementy eksploatacyjne zestawu </w:t>
      </w:r>
      <w:proofErr w:type="spellStart"/>
      <w:r w:rsidRPr="005B7E75">
        <w:rPr>
          <w:rFonts w:ascii="Times New Roman" w:eastAsia="Calibri" w:hAnsi="Times New Roman" w:cs="Times New Roman"/>
          <w:b/>
          <w:i/>
        </w:rPr>
        <w:t>FIACompact</w:t>
      </w:r>
      <w:proofErr w:type="spellEnd"/>
      <w:r w:rsidRPr="005B7E75">
        <w:rPr>
          <w:rFonts w:ascii="Times New Roman" w:eastAsia="Calibri" w:hAnsi="Times New Roman" w:cs="Times New Roman"/>
          <w:b/>
          <w:i/>
        </w:rPr>
        <w:t>/</w:t>
      </w:r>
      <w:proofErr w:type="spellStart"/>
      <w:r w:rsidRPr="005B7E75">
        <w:rPr>
          <w:rFonts w:ascii="Times New Roman" w:eastAsia="Calibri" w:hAnsi="Times New Roman" w:cs="Times New Roman"/>
          <w:b/>
          <w:i/>
        </w:rPr>
        <w:t>FIAModula</w:t>
      </w:r>
      <w:proofErr w:type="spellEnd"/>
    </w:p>
    <w:p w:rsidR="00FC5435" w:rsidRPr="005B7E75" w:rsidRDefault="00FC5435" w:rsidP="00FC5435">
      <w:pPr>
        <w:spacing w:after="240"/>
        <w:rPr>
          <w:rFonts w:ascii="Times New Roman" w:eastAsia="Times New Roman" w:hAnsi="Times New Roman" w:cs="Times New Roman"/>
          <w:b/>
          <w:i/>
          <w:lang w:eastAsia="pl-PL"/>
        </w:rPr>
      </w:pPr>
      <w:r w:rsidRPr="005B7E75">
        <w:rPr>
          <w:rFonts w:ascii="Times New Roman" w:eastAsia="Times New Roman" w:hAnsi="Times New Roman" w:cs="Times New Roman"/>
          <w:b/>
          <w:i/>
          <w:lang w:eastAsia="pl-PL"/>
        </w:rPr>
        <w:t xml:space="preserve">Część 10 : Elementy eksploatacyjne do  posiadanych  przez Zamawiającego analizatorów Skalar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2B5755" w:rsidRPr="006E78D3" w:rsidRDefault="00FC543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 xml:space="preserve">W ofercie prosimy powołać się na nr sprawy: </w:t>
      </w:r>
      <w:r w:rsidRPr="00FC5435">
        <w:rPr>
          <w:rFonts w:ascii="Times New Roman" w:eastAsia="Calibri" w:hAnsi="Times New Roman" w:cs="Times New Roman"/>
          <w:b/>
        </w:rPr>
        <w:t>FZ-1/5283/KB/20/SC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5B7E75" w:rsidRDefault="005B7E7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5B7E7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2B575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FC5435">
        <w:rPr>
          <w:rFonts w:ascii="Times New Roman" w:eastAsia="Times New Roman" w:hAnsi="Times New Roman" w:cs="Times New Roman"/>
          <w:b/>
          <w:u w:val="single"/>
        </w:rPr>
        <w:t>1</w:t>
      </w:r>
      <w:r w:rsidR="00FA3854">
        <w:rPr>
          <w:rFonts w:ascii="Times New Roman" w:eastAsia="Times New Roman" w:hAnsi="Times New Roman" w:cs="Times New Roman"/>
          <w:b/>
          <w:u w:val="single"/>
        </w:rPr>
        <w:t>2</w:t>
      </w:r>
      <w:r w:rsidR="00FC5435">
        <w:rPr>
          <w:rFonts w:ascii="Times New Roman" w:eastAsia="Times New Roman" w:hAnsi="Times New Roman" w:cs="Times New Roman"/>
          <w:b/>
          <w:u w:val="single"/>
        </w:rPr>
        <w:t>.08.2020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</w:t>
      </w:r>
      <w:r w:rsidR="005B7E75">
        <w:rPr>
          <w:rFonts w:ascii="Times New Roman" w:eastAsia="Times New Roman" w:hAnsi="Times New Roman" w:cs="Times New Roman"/>
        </w:rPr>
        <w:t xml:space="preserve"> na adres: </w:t>
      </w:r>
      <w:r w:rsidR="005B7E75" w:rsidRPr="005B7E75">
        <w:rPr>
          <w:rFonts w:ascii="Times New Roman" w:eastAsia="Times New Roman" w:hAnsi="Times New Roman" w:cs="Times New Roman"/>
          <w:b/>
        </w:rPr>
        <w:t>kbula@gig.eu</w:t>
      </w:r>
    </w:p>
    <w:p w:rsidR="002B5755" w:rsidRPr="006E78D3" w:rsidRDefault="005B7E7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  </w:t>
      </w:r>
      <w:r w:rsidR="002B5755" w:rsidRPr="005B7E75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FC5435" w:rsidRPr="006E78D3" w:rsidRDefault="00FC543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5435" w:rsidRP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Część 1  : </w:t>
      </w: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Elementy eksploatacyjne  do posiadanego przez Zamawiającego analizatora </w:t>
      </w:r>
      <w:proofErr w:type="spellStart"/>
      <w:r w:rsidRPr="00FC5435">
        <w:rPr>
          <w:rFonts w:ascii="Times New Roman" w:eastAsia="Calibri" w:hAnsi="Times New Roman" w:cs="Times New Roman"/>
          <w:b/>
          <w:sz w:val="20"/>
          <w:szCs w:val="20"/>
        </w:rPr>
        <w:t>Morphologi</w:t>
      </w:r>
      <w:proofErr w:type="spellEnd"/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 G3S-ID </w:t>
      </w:r>
    </w:p>
    <w:tbl>
      <w:tblPr>
        <w:tblpPr w:leftFromText="141" w:rightFromText="141" w:vertAnchor="text" w:horzAnchor="margin" w:tblpX="-385" w:tblpY="309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011"/>
        <w:gridCol w:w="567"/>
        <w:gridCol w:w="709"/>
        <w:gridCol w:w="992"/>
        <w:gridCol w:w="993"/>
        <w:gridCol w:w="850"/>
        <w:gridCol w:w="992"/>
        <w:gridCol w:w="992"/>
        <w:gridCol w:w="1135"/>
      </w:tblGrid>
      <w:tr w:rsidR="00FC5435" w:rsidRPr="00FC5435" w:rsidTr="00885D5F">
        <w:tc>
          <w:tcPr>
            <w:tcW w:w="675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11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BFBFBF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shd w:val="clear" w:color="auto" w:fill="BFBFBF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135" w:type="dxa"/>
            <w:shd w:val="clear" w:color="auto" w:fill="BFBFBF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handlowa</w:t>
            </w:r>
          </w:p>
        </w:tc>
      </w:tr>
      <w:tr w:rsidR="00FC5435" w:rsidRPr="00FC5435" w:rsidTr="00885D5F">
        <w:trPr>
          <w:trHeight w:val="242"/>
        </w:trPr>
        <w:tc>
          <w:tcPr>
            <w:tcW w:w="675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011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135" w:type="dxa"/>
            <w:shd w:val="clear" w:color="auto" w:fill="FFFFFF"/>
          </w:tcPr>
          <w:p w:rsidR="00FC5435" w:rsidRPr="00FC5435" w:rsidRDefault="00FC5435" w:rsidP="00885D5F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C5435"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  <w:t>10</w:t>
            </w: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011" w:type="dxa"/>
          </w:tcPr>
          <w:p w:rsidR="00FC5435" w:rsidRPr="00FC5435" w:rsidRDefault="00FC5435" w:rsidP="00885D5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Płyn antyelektrostatyczny – stosowany jest do czyszczenia dzwona służącego do dyspersji materiałów sypkich. Płyn powinien być pakowany w butelkę o pojemności 250 ml z atomizerem.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11" w:type="dxa"/>
          </w:tcPr>
          <w:p w:rsidR="00FC5435" w:rsidRPr="00FC5435" w:rsidRDefault="00FC5435" w:rsidP="00885D5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Chusteczki bezpyłowe  - służą do czyszczenia (nie pozostawiając pyłu) płytki szklanej, na której umieszczana jest próbka materiału do analizy. Chusteczki powinny być wykonane z mieszanki poliester-celuloza, średnia ilość cząsteczek: 15,4 cząsteczki/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m2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, stopień chłonności: 730 ml/m2, rozmiar: 15cmx 15 cm, pakowane po 50 sztuk.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11" w:type="dxa"/>
          </w:tcPr>
          <w:p w:rsidR="00FC5435" w:rsidRPr="00FC5435" w:rsidRDefault="00FC5435" w:rsidP="00885D5F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Płytka szklana G3SE, opakowanie 3 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885D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FC5435" w:rsidRPr="00FC5435" w:rsidRDefault="00FC5435" w:rsidP="00885D5F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Płytka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kwarcowa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Fused Quartz SDU Glass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885D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11" w:type="dxa"/>
          </w:tcPr>
          <w:p w:rsidR="00FC5435" w:rsidRPr="00FC5435" w:rsidRDefault="00FC5435" w:rsidP="00885D5F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O- ring uszczelki do komory  dyspersyjnej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885D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FC5435" w:rsidRPr="00FC5435" w:rsidRDefault="00FC5435" w:rsidP="00885D5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Żarówka halogenowa 50 W  12 V do mikroskopu, opakowanie 2 szt.</w:t>
            </w:r>
          </w:p>
        </w:tc>
        <w:tc>
          <w:tcPr>
            <w:tcW w:w="567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675" w:type="dxa"/>
            <w:vAlign w:val="center"/>
          </w:tcPr>
          <w:p w:rsidR="00FC5435" w:rsidRPr="00FC5435" w:rsidRDefault="00FC5435" w:rsidP="00885D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</w:tcPr>
          <w:p w:rsidR="00FC5435" w:rsidRPr="00FC5435" w:rsidRDefault="00FC5435" w:rsidP="00885D5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567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FC5435" w:rsidRPr="00FC5435" w:rsidRDefault="00FC5435" w:rsidP="00885D5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885D5F" w:rsidRPr="00FC5435" w:rsidRDefault="00885D5F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FC5435" w:rsidRP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FC5435" w:rsidRP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FC5435" w:rsidRP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FC5435" w:rsidRPr="00FC5435" w:rsidRDefault="00FC5435" w:rsidP="00FC5435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Część 2 : Materiały eksploatacyjne do posiadanych przez Zamawiającego chromatografów jonowych DIONEX ICS-5000, ICS-2500, ICS-1100</w:t>
      </w:r>
    </w:p>
    <w:tbl>
      <w:tblPr>
        <w:tblW w:w="110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970"/>
        <w:gridCol w:w="850"/>
        <w:gridCol w:w="567"/>
        <w:gridCol w:w="851"/>
        <w:gridCol w:w="992"/>
        <w:gridCol w:w="709"/>
        <w:gridCol w:w="850"/>
        <w:gridCol w:w="709"/>
        <w:gridCol w:w="992"/>
      </w:tblGrid>
      <w:tr w:rsidR="00FC5435" w:rsidRPr="00FC5435" w:rsidTr="00885D5F">
        <w:tc>
          <w:tcPr>
            <w:tcW w:w="567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970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Nazwa towaru, wymagania,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Cena jednostkowa netto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netto</w:t>
            </w:r>
          </w:p>
        </w:tc>
        <w:tc>
          <w:tcPr>
            <w:tcW w:w="709" w:type="dxa"/>
            <w:shd w:val="clear" w:color="auto" w:fill="BFBFBF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VAT</w:t>
            </w:r>
          </w:p>
        </w:tc>
        <w:tc>
          <w:tcPr>
            <w:tcW w:w="850" w:type="dxa"/>
            <w:shd w:val="clear" w:color="auto" w:fill="BFBFBF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</w:t>
            </w: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VAT</w:t>
            </w:r>
          </w:p>
        </w:tc>
        <w:tc>
          <w:tcPr>
            <w:tcW w:w="709" w:type="dxa"/>
            <w:shd w:val="clear" w:color="auto" w:fill="BFBFBF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</w:t>
            </w: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brutto</w:t>
            </w:r>
          </w:p>
        </w:tc>
        <w:tc>
          <w:tcPr>
            <w:tcW w:w="992" w:type="dxa"/>
            <w:shd w:val="clear" w:color="auto" w:fill="BFBFBF"/>
          </w:tcPr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Producent</w:t>
            </w:r>
          </w:p>
          <w:p w:rsidR="00FC5435" w:rsidRPr="005B7E7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5B7E7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nazwa handlowa</w:t>
            </w:r>
          </w:p>
        </w:tc>
      </w:tr>
      <w:tr w:rsidR="00FC5435" w:rsidRPr="00FC5435" w:rsidTr="00885D5F">
        <w:tc>
          <w:tcPr>
            <w:tcW w:w="567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70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9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0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709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85D5F">
        <w:trPr>
          <w:trHeight w:val="1146"/>
        </w:trPr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Wkład wodorotlenku potasu (KOH) do automatycznego generowania eluentu do analizy anionów do chromatografu jonowego DIONEX ICS-5000</w:t>
            </w:r>
          </w:p>
        </w:tc>
        <w:tc>
          <w:tcPr>
            <w:tcW w:w="85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Kolumna/pułapka (regenerowana elektrochemicznie) do usuwania śladów anionów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analityczna (4x250 mm) umożliwiającą oznaczenie podstawowych anionów nieorganicznych (tj. fluorków, chlorków, azotynów, bromków, azotanów, siarczanów, fosforanów oraz jodków) i produktów ubocznych dezynfekcji wody (tj. bromianów, chloranów i chlorynów) o pojemności wymiennej 240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dostosowana do eluentu wodorotlenkowego i pracująca w zakresie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: 0 – 14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ochronna(4x50mm) o pojemności wymiennej 6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dostosowana do kolumny analitycznej (wyżej wymienionej w pkt. 3) do chromatografu jonowego DIONEX ICS-5000 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analityczna (4x250 mm) do analizy anionów nieorganicznych o pojemności wymiennej 320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dostosowana do eluentu węglanowego i pracująca w zakresie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: 0 – 14,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ochronna (4x50mm) o pojemności wymiennej 6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dostosowana do kolumny analitycznej (wyżej wymienionej w pkt. 5)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analityczna (4x150 mm) do szybkiej analizy anionów nieorganicznych o pojemności wymiennej 126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dostosowana do eluentu węglanowego i pracująca w zakresie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: 0 – 14,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ochronna (4x30mm) o pojemności wymiennej 4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dostosowana do kolumny analitycznej (wyżej wymienionej w pkt. 7)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Kolumna analityczna (4x250 mm) umożliwiająca oznaczanie jodków, tiocyjanianów, tiosiarczanów i nadchloranów o pojemności wymiennej 350 µ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dostosowana do eluentu wodorotlenkowego i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pracująca w zakresie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: 0 – 14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ochronna(4x50mm) o pojemności wymiennej 3.5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6D"/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dostosowana do kolumny analitycznej (wyżej wymienionej w pkt. 9)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Kolumna analityczna (4x250 mm) umożliwiająca oznaczanie cukrów oraz bromianów o pojemności wymiennej 100 µ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eq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dostosowana do kwasu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metanosulfonego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jako eluentu i pracująca w zakresie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: 0 – 14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Koncentrat eluentu do kolumny wymienionej w pkt. 5 zawierający 4,5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mM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węglanu sodu i 0,8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mM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wodorowęglanu sodu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Koncentrat eluentu do kolumny wymienionej w pkt. 7 zawierający 4,5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mM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węglanu sodu i 1,4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mM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wodorowęglanu sodu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Samoregenerujący się tłumik/wzmacniacz anionowy (4 mm) do chromatografu jonowego DIONEX ICS-5000 oraz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Urządzenie do usuwania węglanów (4 mm) dostosowany do eluentu wodorotlenkowego,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Wkład ochronny z grupami funkcyjnymi w postaci jonów Ag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+</w:t>
            </w:r>
          </w:p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) usuwający chlorki z próbki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Wkład ochronny z grupami funkcyjnymi w postaci jonów H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+</w:t>
            </w:r>
          </w:p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) usuwający metale i węglany z próbki, wymagany przy stosowaniu wkładów z grupami funkcyjnymi Ag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+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 Ba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2+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Wkład ochronny z grupami funkcyjnymi w postaci jonów Na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+</w:t>
            </w:r>
          </w:p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) usuwające metale bez zakwaszenia próbki, wymagany przy stosowaniu wkładów z grupami funkcyjnymi Ag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+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 Ba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2+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Wkład ochronny z grupami funkcyjnymi w postaci jonów Ba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2+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(2.5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) usuwający siarczany i chromiany z próbki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Wkład ochronny zawierający polimer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poliwinylopyrolidynowy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PVP (1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) usuwający fenole, barwniki azowe i kwasy humusowe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Wkład ochronny zawierający żywicę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polidiwinylobenzenową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(2.5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 usuwający detergenty, lipidy, barwniki aromatyczne, </w:t>
            </w: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węglowodory i kwasy karboksylowe 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konserwacyjny do podajnika AS50 do chromatografu jonowego DIONEX ICS-2500 </w:t>
            </w:r>
            <w:r w:rsidRPr="00FC54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bez strzykawki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Zestaw konserwacyjny do pompy GP50 do chromatografu jonowego DIONEX ICS-2500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Zestaw do chromatografu jonowego DIONEX ICS-5000 i DIONEX ICS-1100 obejmujący elementy: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wkrętka z materiału PEEK z gwintem 10-32 do kapilar 1/16''  -12 szt.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uszczelka PEEK do wkrętki z gwintem 10-32 -12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filtr eluentu PE, do wciskania na wężyk 1/8'' w butelce ciśnieniowej 4L - 8 szt. 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filtr eluentu PE z gwintem ¼-28  - 8 szt. 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złączka bagnetowa do rurki gazowej o średnicy 3,2 mm – 10 szt. 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Zestaw do chromatografu jonowego DIONEX ICS-5000 i DIONEX ICS-1100 obejmujący elementy: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przewód ciśnieniowy (zielony) o średnicy 0.030 cala i ciśnieniu wstecznym 0.003 psi/cm przy 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/min – 1 szt. (po 2 m)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przewód ciśnieniowy (pomarańczowy) o średnicy 0.020 cala i ciśnieniu wstecznym 0.015 psi/cm przy 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/min – 2 szt. (po 2 m) przewód ciśnieniowy (niebieski) o średnicy 0.013 cala i ciśnieniu wstecznym 0.081 psi/cm przy 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/min – 1 szt. (po 2 m) przewód ciśnieniowy (czarny) o średnicy 0.010 cala i ciśnieniu wstecznym 0.232 psi/cm przy 1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/min –2 szt. (po 2 m)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Polistyrenowe fiolki o pojemności 10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septami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,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Opak. (100 szt.)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rPr>
          <w:trHeight w:val="1130"/>
        </w:trPr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Naczynia polipropylenowe z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filterkami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 poj. ok. 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,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Opak. (250 szt. )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rPr>
          <w:trHeight w:val="729"/>
        </w:trPr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Naczynia polipropylenowe bez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filterków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(z zakrętkami) o poj. ok. 5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, do chromatografu jonowego DIONEX ICS-1100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Opak. (250 szt.)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970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„Mikser” gradientu 4 mm do chromatografu jonowego DIONEX ICS-5000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5435" w:rsidRPr="00FC5435" w:rsidTr="00885D5F">
        <w:tc>
          <w:tcPr>
            <w:tcW w:w="567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70" w:type="dxa"/>
          </w:tcPr>
          <w:p w:rsidR="00FC5435" w:rsidRPr="00FC5435" w:rsidRDefault="00FC5435" w:rsidP="00FC5435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RAZEM : 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885D5F" w:rsidRDefault="00885D5F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 xml:space="preserve">Część 3 : </w:t>
      </w: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Materiały eksploatacyjne dla posiadanych przez Zamawiającego spektrometrów ICPMS </w:t>
      </w:r>
      <w:proofErr w:type="spellStart"/>
      <w:r w:rsidRPr="00FC5435">
        <w:rPr>
          <w:rFonts w:ascii="Times New Roman" w:eastAsia="Calibri" w:hAnsi="Times New Roman" w:cs="Times New Roman"/>
          <w:b/>
          <w:sz w:val="20"/>
          <w:szCs w:val="20"/>
        </w:rPr>
        <w:t>NexIon</w:t>
      </w:r>
      <w:proofErr w:type="spellEnd"/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 300s oraz ICPOES Optima 5300DV oraz do analizatora rtęci SMS100</w:t>
      </w:r>
    </w:p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1148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54"/>
        <w:gridCol w:w="991"/>
        <w:gridCol w:w="567"/>
        <w:gridCol w:w="709"/>
        <w:gridCol w:w="1134"/>
        <w:gridCol w:w="708"/>
        <w:gridCol w:w="993"/>
        <w:gridCol w:w="851"/>
        <w:gridCol w:w="709"/>
      </w:tblGrid>
      <w:tr w:rsidR="00FC5435" w:rsidRPr="00FC5435" w:rsidTr="00885D5F">
        <w:tc>
          <w:tcPr>
            <w:tcW w:w="567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254" w:type="dxa"/>
            <w:shd w:val="clear" w:color="auto" w:fill="BFBFBF"/>
            <w:vAlign w:val="center"/>
          </w:tcPr>
          <w:p w:rsidR="00FC5435" w:rsidRPr="00FC5435" w:rsidRDefault="00FC5435" w:rsidP="00A0706E">
            <w:pPr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towaru, wymagania,</w:t>
            </w:r>
          </w:p>
        </w:tc>
        <w:tc>
          <w:tcPr>
            <w:tcW w:w="991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Jednostka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miary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stawka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VAT</w:t>
            </w:r>
          </w:p>
        </w:tc>
        <w:tc>
          <w:tcPr>
            <w:tcW w:w="993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851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brutto</w:t>
            </w:r>
          </w:p>
        </w:tc>
        <w:tc>
          <w:tcPr>
            <w:tcW w:w="709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Producent, nazwa handlowa</w:t>
            </w:r>
          </w:p>
        </w:tc>
      </w:tr>
      <w:tr w:rsidR="00FC5435" w:rsidRPr="00FC5435" w:rsidTr="00885D5F">
        <w:tc>
          <w:tcPr>
            <w:tcW w:w="567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54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1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708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7</w:t>
            </w:r>
          </w:p>
        </w:tc>
        <w:tc>
          <w:tcPr>
            <w:tcW w:w="993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8</w:t>
            </w:r>
          </w:p>
        </w:tc>
        <w:tc>
          <w:tcPr>
            <w:tcW w:w="851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9</w:t>
            </w:r>
          </w:p>
        </w:tc>
        <w:tc>
          <w:tcPr>
            <w:tcW w:w="709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10</w:t>
            </w:r>
          </w:p>
        </w:tc>
      </w:tr>
      <w:tr w:rsidR="00FC5435" w:rsidRPr="00FC5435" w:rsidTr="00885D5F"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54" w:type="dxa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Nebulizer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-rozpylacz kompatybilny z posiadanym spektrometrem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300s przeznaczony do niskich przepływów 0,050-1,0 ml/min oraz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cisnień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40-50 psi wykonany z czarnego tworzywa PEEK wraz z teflonową kapilarą </w:t>
            </w:r>
          </w:p>
        </w:tc>
        <w:tc>
          <w:tcPr>
            <w:tcW w:w="99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819"/>
        </w:trPr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54" w:type="dxa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Nebulizer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PTFE rozpylacz kompatybilny z posiadanym spektrometrem Optima 5300DV oraz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300s przeznaczony do przepływów 0,2-2,5 ml/min oraz ciśnień 35-45  psi </w:t>
            </w:r>
          </w:p>
        </w:tc>
        <w:tc>
          <w:tcPr>
            <w:tcW w:w="99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512"/>
        </w:trPr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54" w:type="dxa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palnik kwarcowy do spektrometru ICP-MS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696"/>
        </w:trPr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54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palnik kwarcowy ze szczeliną do spektrometru ICP-OES Optima 5300DV</w:t>
            </w:r>
          </w:p>
        </w:tc>
        <w:tc>
          <w:tcPr>
            <w:tcW w:w="99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54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okienko osiowe kwarcowe śr. 17mm do spektrometru ICP-OES Optima 5300DV</w:t>
            </w:r>
          </w:p>
        </w:tc>
        <w:tc>
          <w:tcPr>
            <w:tcW w:w="99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chłodziwo do spektrometru ICPMS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Opak (1L)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płyn PFPE (płynny poliester perfluorowy) do pompy wstępnej ICPMS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Opak (1L)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5F" w:rsidRPr="00FC5435" w:rsidRDefault="00FC5435" w:rsidP="00885D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szkiełko kwarcowe boczne (tubus) długie radialne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Bonet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wężyki do pompy przetokowej: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(PCV) - czarne-czarne (0.76 mm), 2 blokady 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 12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wężyki do pompy przetokowej: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(PCV) - czerw-czerw (1.14 mm), 2 blokady 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 12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Stożek platynowy skimmer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kompatybilny z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Stożek platynowy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kompatybilny z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Stożek niklowy skimmer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kompatybilny z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Stożek niklowy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kompatybilny z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Stożek hiper skimmer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kompatybilny z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Tacka na próbki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autosamplera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S10 na fiolki - 50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Tacka na próbki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autosamplera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S10 na fiolki - 15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polietylenowy do Mira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Mist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Ari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Mist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0.44 in. O.D. x .018 in. I.D. x 3 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1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uszczelek do adaptera palnika zawierający: </w:t>
            </w:r>
          </w:p>
          <w:p w:rsidR="00FC5435" w:rsidRPr="00FC5435" w:rsidRDefault="00FC5435" w:rsidP="00FC543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- Injector O-Ring, 6.07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mmI.D</w:t>
            </w:r>
            <w:proofErr w:type="spellEnd"/>
          </w:p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- Torch O-Ring, 9.25 mm I.D</w:t>
            </w:r>
          </w:p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- O-Ring, 13.99 mm I.D</w:t>
            </w:r>
          </w:p>
          <w:p w:rsidR="00FC5435" w:rsidRPr="00FC5435" w:rsidRDefault="00FC5435" w:rsidP="00885D5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- O-Ring, 15.88 mm I.D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Uszczelka do hiper skimmer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cone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spektrometrem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NexIon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300s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C5435" w:rsidRPr="00FC5435" w:rsidRDefault="00FC5435" w:rsidP="00FC543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  <w:r w:rsidRPr="00FC5435">
        <w:rPr>
          <w:rFonts w:ascii="Times New Roman" w:eastAsia="Calibri" w:hAnsi="Times New Roman" w:cs="Times New Roman"/>
          <w:sz w:val="20"/>
          <w:szCs w:val="20"/>
        </w:rPr>
        <w:tab/>
      </w:r>
    </w:p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4 : </w:t>
      </w:r>
      <w:r w:rsidRPr="00FC5435">
        <w:rPr>
          <w:rFonts w:ascii="Times New Roman" w:eastAsia="Calibri" w:hAnsi="Times New Roman" w:cs="Times New Roman"/>
          <w:b/>
          <w:sz w:val="20"/>
          <w:szCs w:val="20"/>
        </w:rPr>
        <w:t>Materiały eksploatacyjne dla posiadanego przez Zamawiającego analizatora rtęci SMS100</w:t>
      </w:r>
    </w:p>
    <w:p w:rsidR="00FC5435" w:rsidRPr="00FC5435" w:rsidRDefault="00FC5435" w:rsidP="00FC543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1148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253"/>
        <w:gridCol w:w="709"/>
        <w:gridCol w:w="709"/>
        <w:gridCol w:w="708"/>
        <w:gridCol w:w="993"/>
        <w:gridCol w:w="708"/>
        <w:gridCol w:w="709"/>
        <w:gridCol w:w="992"/>
        <w:gridCol w:w="851"/>
      </w:tblGrid>
      <w:tr w:rsidR="00FC5435" w:rsidRPr="00FC5435" w:rsidTr="00885D5F">
        <w:tc>
          <w:tcPr>
            <w:tcW w:w="851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253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towaru, wymagania,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Jednostka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stawka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VAT</w:t>
            </w:r>
          </w:p>
        </w:tc>
        <w:tc>
          <w:tcPr>
            <w:tcW w:w="709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992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851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Producent, nazwa handlowa</w:t>
            </w:r>
          </w:p>
        </w:tc>
      </w:tr>
      <w:tr w:rsidR="00FC5435" w:rsidRPr="00FC5435" w:rsidTr="00885D5F">
        <w:tc>
          <w:tcPr>
            <w:tcW w:w="851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53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708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9</w:t>
            </w:r>
          </w:p>
        </w:tc>
        <w:tc>
          <w:tcPr>
            <w:tcW w:w="851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pl-PL"/>
              </w:rPr>
              <w:t>10</w:t>
            </w: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rura spalań (katalityczna) do 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zespół widelca podajnika (tytanowy) do 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dehydrator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nafion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amalgamator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łódki kwarcowe do 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łódki niklowe do analizatora rtęci SMS100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RAZEM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rPr>
          <w:rFonts w:ascii="Calibri" w:eastAsia="Calibri" w:hAnsi="Calibri" w:cs="Times New Roman"/>
          <w:sz w:val="20"/>
          <w:szCs w:val="20"/>
        </w:rPr>
      </w:pPr>
    </w:p>
    <w:p w:rsidR="00FC5435" w:rsidRPr="00FC5435" w:rsidRDefault="00FC5435" w:rsidP="00FC5435">
      <w:pPr>
        <w:spacing w:line="360" w:lineRule="auto"/>
        <w:ind w:left="360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Część 5. </w:t>
      </w:r>
      <w:r w:rsidRPr="00FC5435">
        <w:rPr>
          <w:rFonts w:ascii="Calibri" w:eastAsia="Calibri" w:hAnsi="Calibri" w:cs="Times New Roman"/>
          <w:b/>
          <w:sz w:val="20"/>
          <w:szCs w:val="20"/>
        </w:rPr>
        <w:t>Elementy eksploatacyjne do analizatorów: SC 500, CHS 900, N-580 oraz kalorymetru C5010</w:t>
      </w:r>
    </w:p>
    <w:tbl>
      <w:tblPr>
        <w:tblW w:w="11483" w:type="dxa"/>
        <w:tblInd w:w="-63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4253"/>
        <w:gridCol w:w="709"/>
        <w:gridCol w:w="709"/>
        <w:gridCol w:w="708"/>
        <w:gridCol w:w="993"/>
        <w:gridCol w:w="708"/>
        <w:gridCol w:w="709"/>
        <w:gridCol w:w="851"/>
        <w:gridCol w:w="992"/>
      </w:tblGrid>
      <w:tr w:rsidR="00FC5435" w:rsidRPr="00FC5435" w:rsidTr="00885D5F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towaru, wymagania,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Jednostka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stawka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VAT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Producent, nazwa handlowa</w:t>
            </w:r>
          </w:p>
        </w:tc>
      </w:tr>
      <w:tr w:rsidR="00FC5435" w:rsidRPr="00FC5435" w:rsidTr="00885D5F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l-PL"/>
              </w:rPr>
              <w:t>10</w:t>
            </w: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rura spalań   do CHS 900 Helios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 xml:space="preserve">tygle ceramiczne </w:t>
            </w:r>
            <w:proofErr w:type="spellStart"/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premium</w:t>
            </w:r>
            <w:proofErr w:type="spellEnd"/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, Ø 1”do analizatora CHS 900 Helios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1000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ceramiczna lanca do analizatora CHS 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szr</w:t>
            </w:r>
            <w:proofErr w:type="spellEnd"/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wełna kwarcowa  do </w:t>
            </w:r>
            <w:r w:rsidRPr="00FC5435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CHS 900 Helios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filtr gazowy do analizatora CHS 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elementy grzejne </w:t>
            </w: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sility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; kompatybilne z analizatorami CS 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 xml:space="preserve">Folia cynowa, kapsułki do analizatora azotu N-580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100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Kolba do kalorymetru C 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Podtrzymka tygla bomby C 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Elektroda zapłonowa do bomby C 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Nitki zapłonowe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opak.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Druty zapłonowe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Tygle do spalań metalowe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KONTAKTBUCHSE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ZUNDELEKTRODE KPL.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Kwas </w:t>
            </w: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beznoesowy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cz.d.a.  op. 100g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ciecz konserwująca </w:t>
            </w: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Aqua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Pro (do układu recyrkulacyjnego w kalorymetrze C 5010)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Dichtscheibe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(wymiary D 1,00x4,10xx2)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oring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(wymiary 1,00x1,5)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oring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(wymiary 3,15x1,5)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>oring</w:t>
            </w:r>
            <w:proofErr w:type="spellEnd"/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(wymiary 4,00x1,5) do bomby C 5010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5435" w:rsidRPr="00FC5435" w:rsidRDefault="00FC5435" w:rsidP="00FC54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Czcionka tekstu podstawowego" w:eastAsia="Calibri" w:hAnsi="Czcionka tekstu podstawowego" w:cs="Times New Roman"/>
                <w:sz w:val="20"/>
                <w:szCs w:val="20"/>
                <w:lang w:eastAsia="pl-PL"/>
              </w:rPr>
              <w:t xml:space="preserve"> 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C5435" w:rsidRPr="00FC5435" w:rsidRDefault="00FC5435" w:rsidP="00FC543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FC5435" w:rsidRPr="00FC5435" w:rsidRDefault="00FC5435" w:rsidP="00FC5435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Część 6 : Elementy eksploatacyjne do posiadanych przez Zamawiającego  mierników WTW: 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pH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/ION/Cond750 ,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multi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350I i 3320 </w:t>
      </w:r>
      <w:r w:rsidRPr="00FC5435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 xml:space="preserve">  </w:t>
      </w: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oraz   sondy </w:t>
      </w:r>
      <w:proofErr w:type="spellStart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TriOxmatic</w:t>
      </w:r>
      <w:proofErr w:type="spellEnd"/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252"/>
        <w:gridCol w:w="851"/>
        <w:gridCol w:w="709"/>
        <w:gridCol w:w="708"/>
        <w:gridCol w:w="993"/>
        <w:gridCol w:w="708"/>
        <w:gridCol w:w="709"/>
        <w:gridCol w:w="851"/>
        <w:gridCol w:w="992"/>
      </w:tblGrid>
      <w:tr w:rsidR="00FC5435" w:rsidRPr="00FC5435" w:rsidTr="00885D5F">
        <w:tc>
          <w:tcPr>
            <w:tcW w:w="710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252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709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851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92" w:type="dxa"/>
            <w:shd w:val="clear" w:color="auto" w:fill="BFBFB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C5435" w:rsidRPr="00FC5435" w:rsidTr="00885D5F">
        <w:tc>
          <w:tcPr>
            <w:tcW w:w="710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52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8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851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85D5F">
        <w:tc>
          <w:tcPr>
            <w:tcW w:w="71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52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elektroda, zakres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: 0…14, temperatura pracy: 0…100ºC, trzonek szklany,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śr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=120 mm, wypełniona elektrolitem ciekłym 3M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KCl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wtyczka DIN, zintegrowany czujnik temperatury. Kompatybilna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/ION/Cond750.</w:t>
            </w:r>
          </w:p>
        </w:tc>
        <w:tc>
          <w:tcPr>
            <w:tcW w:w="85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819"/>
        </w:trPr>
        <w:tc>
          <w:tcPr>
            <w:tcW w:w="71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52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Naczyńko konduktometryczne czteroelektrodowe, trzon epoksydowy, elektrody grafitowe, stała naczyńka k=0,475 cm-1, śr.=15,3 mm, dł. 120 mm, wbudowany czujnik temperatury . Kompatybilne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/ION/Cond750.</w:t>
            </w:r>
          </w:p>
        </w:tc>
        <w:tc>
          <w:tcPr>
            <w:tcW w:w="85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992"/>
        </w:trPr>
        <w:tc>
          <w:tcPr>
            <w:tcW w:w="71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52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Naczyńko konduktometryczne czteroelektrodowe, trzon epoksydowy, elektrody grafitowe, stała naczyńka k=0,475 cm-1, śr.=15,3 mm, dł. 120 mm, wbudowany czujnik temperatury . Kompatybilne z miernikiem Multi 350i oraz Multi340i</w:t>
            </w:r>
          </w:p>
        </w:tc>
        <w:tc>
          <w:tcPr>
            <w:tcW w:w="85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696"/>
        </w:trPr>
        <w:tc>
          <w:tcPr>
            <w:tcW w:w="71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52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-metryczna z wbudowanym czujnikiem temperatury i elektrolitem żelowym. Zastosowanie: ścieki. Długość kabla 3 m, wtyczka DIN + bananowa. Kompatybilna z miernikiem wieloparametrowym Multi 350i oraz Multi340i</w:t>
            </w:r>
          </w:p>
        </w:tc>
        <w:tc>
          <w:tcPr>
            <w:tcW w:w="85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52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Kombinowana elektroda do pomiaru potencjału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Redox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. Wtyk S7 .Kompatybilna z miernikiem WTW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inoLab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/ION/Cond750</w:t>
            </w:r>
          </w:p>
        </w:tc>
        <w:tc>
          <w:tcPr>
            <w:tcW w:w="851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Elektrolit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KCl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3 mol/l 250 </w:t>
            </w:r>
            <w:proofErr w:type="spellStart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mL</w:t>
            </w:r>
            <w:proofErr w:type="spellEnd"/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( do uzupełnienia elektrod)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tabs>
                <w:tab w:val="left" w:pos="286"/>
              </w:tabs>
              <w:ind w:left="392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  <w:p w:rsidR="00FC5435" w:rsidRPr="00FC5435" w:rsidRDefault="00885D5F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Elektroda kombinowana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ze złączem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banan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wodoszczelna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Długość przewodu min. 3m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pomiarowy 0-14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Obudowa tworzywo sztuczne 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Elektrolit żel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pracy min. 0,0 – 80°C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zintegrowanym czujnikiem temperatury</w:t>
            </w:r>
          </w:p>
          <w:p w:rsidR="00FC5435" w:rsidRPr="00FC5435" w:rsidRDefault="00FC5435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ind w:left="392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  <w:p w:rsidR="00FC5435" w:rsidRPr="00FC5435" w:rsidRDefault="00885D5F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Elektroda kombinowana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ze złączem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bananowe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wodoszczelna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Długość przewodu min. 3m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pomiarowy 0-14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</w:t>
            </w:r>
            <w:proofErr w:type="spellEnd"/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Obudowa tworzywo sztuczne 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z elektrolitem ciekłym i z otworem do napełniania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pracy min. 0,0 – 80°C</w:t>
            </w:r>
          </w:p>
          <w:p w:rsidR="00FC5435" w:rsidRPr="00FC5435" w:rsidRDefault="00FC5435" w:rsidP="00FC5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zintegrowanym czujnikiem temperatury</w:t>
            </w:r>
          </w:p>
          <w:p w:rsidR="00FC5435" w:rsidRPr="00FC5435" w:rsidRDefault="00FC5435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885D5F" w:rsidP="00FC5435">
            <w:pPr>
              <w:ind w:left="392" w:hanging="217"/>
              <w:contextualSpacing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 xml:space="preserve">Elektroda 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redox</w:t>
            </w:r>
            <w:proofErr w:type="spellEnd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 xml:space="preserve"> ze złączem 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din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885D5F" w:rsidP="00FC5435">
            <w:pPr>
              <w:ind w:left="392" w:hanging="217"/>
              <w:contextualSpacing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Zestaw serwisowy do elektrody tlenowej cel-</w:t>
            </w:r>
            <w:proofErr w:type="spellStart"/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ox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proofErr w:type="spellStart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Kompl</w:t>
            </w:r>
            <w:proofErr w:type="spellEnd"/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ind w:left="360"/>
              <w:contextualSpacing/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rPr>
                <w:rFonts w:ascii="Czcionka tekstu podstawowego" w:eastAsia="Calibri" w:hAnsi="Czcionka tekstu podstawowego" w:cs="Calibri"/>
                <w:sz w:val="20"/>
                <w:szCs w:val="20"/>
              </w:rPr>
            </w:pPr>
            <w:r w:rsidRPr="00FC5435">
              <w:rPr>
                <w:rFonts w:ascii="Czcionka tekstu podstawowego" w:eastAsia="Calibri" w:hAnsi="Czcionka tekstu podstawowego" w:cs="Calibri"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jc w:val="center"/>
              <w:rPr>
                <w:rFonts w:ascii="Czcionka tekstu podstawowego" w:eastAsia="Calibri" w:hAnsi="Czcionka tekstu podstawowego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spacing w:after="0" w:line="24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:rsidR="00FC5435" w:rsidRPr="00FC5435" w:rsidRDefault="00FC5435" w:rsidP="00FC5435">
      <w:pPr>
        <w:spacing w:after="0" w:line="24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FC5435">
        <w:rPr>
          <w:rFonts w:ascii="Calibri" w:eastAsia="Calibri" w:hAnsi="Calibri" w:cs="Times New Roman"/>
          <w:b/>
          <w:sz w:val="20"/>
          <w:szCs w:val="20"/>
        </w:rPr>
        <w:t>Część 7 : Materiały eksploatacyjne  do posiadanego przez Zamawiającego analizatora AOX MultiX2000 oraz AOX MultiX2500</w:t>
      </w: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111"/>
        <w:gridCol w:w="709"/>
        <w:gridCol w:w="709"/>
        <w:gridCol w:w="850"/>
        <w:gridCol w:w="1134"/>
        <w:gridCol w:w="567"/>
        <w:gridCol w:w="709"/>
        <w:gridCol w:w="993"/>
        <w:gridCol w:w="992"/>
      </w:tblGrid>
      <w:tr w:rsidR="00FC5435" w:rsidRPr="00FC5435" w:rsidTr="00885D5F">
        <w:tc>
          <w:tcPr>
            <w:tcW w:w="709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111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towaru, wymagania,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Jednostka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567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stawka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VAT</w:t>
            </w:r>
          </w:p>
        </w:tc>
        <w:tc>
          <w:tcPr>
            <w:tcW w:w="709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993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992" w:type="dxa"/>
            <w:shd w:val="clear" w:color="auto" w:fill="BFBFBF"/>
          </w:tcPr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FC5435" w:rsidRPr="00A0706E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0706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Producent, nazwa handlowa</w:t>
            </w:r>
          </w:p>
        </w:tc>
      </w:tr>
      <w:tr w:rsidR="00FC5435" w:rsidRPr="00FC5435" w:rsidTr="00885D5F"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709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3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shd w:val="clear" w:color="auto" w:fill="FFFFFF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85D5F"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vAlign w:val="center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Kolumienki kwarcowe wypełnione węglem aktywnym 18 mm x 6 mm do oznaczania AOX metodą kolumnową wg PN-EN ISO 9562, do układu AP-2P do przygotowania próbek metodą kolumnową, do analizatora AOX MultiX2000, pakowane po 100 </w:t>
            </w: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819"/>
        </w:trPr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vAlign w:val="center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 xml:space="preserve">elektroda kombinowana Pt/Ag, ceramiczna  do pomiarów kulometrycznych, do analizatora AOX MultiX2000 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819"/>
        </w:trPr>
        <w:tc>
          <w:tcPr>
            <w:tcW w:w="709" w:type="dxa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1" w:type="dxa"/>
            <w:vAlign w:val="center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strzykawka plastikowa 100 ml, (do układu APU-sim do przygotowania próbek metodą kolumnową, do analizatora AOX MultiX2500</w:t>
            </w: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proofErr w:type="spellStart"/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50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5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FC5435" w:rsidRPr="00FC5435" w:rsidRDefault="00FC5435" w:rsidP="00FC5435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8 : </w:t>
      </w: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Materiały eksploatacyjne do posiadanych  przez Zamawiającego zmywarek LANCER INDUSTRIE</w:t>
      </w:r>
    </w:p>
    <w:tbl>
      <w:tblPr>
        <w:tblW w:w="11625" w:type="dxa"/>
        <w:tblInd w:w="-781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3119"/>
        <w:gridCol w:w="1100"/>
        <w:gridCol w:w="743"/>
        <w:gridCol w:w="851"/>
        <w:gridCol w:w="992"/>
        <w:gridCol w:w="709"/>
        <w:gridCol w:w="992"/>
        <w:gridCol w:w="1134"/>
        <w:gridCol w:w="1276"/>
      </w:tblGrid>
      <w:tr w:rsidR="00FC5435" w:rsidRPr="00FC5435" w:rsidTr="00885D5F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C5435" w:rsidRPr="00FC5435" w:rsidTr="00885D5F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85D5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płynów do zmywarek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Opak.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(Komplet płynów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 x 10L)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893F17" w:rsidRDefault="00893F17" w:rsidP="00FC5435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:rsidR="00FC5435" w:rsidRPr="00FC5435" w:rsidRDefault="00FC5435" w:rsidP="00FC5435">
      <w:pPr>
        <w:spacing w:line="360" w:lineRule="auto"/>
        <w:ind w:left="283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FC5435">
        <w:rPr>
          <w:rFonts w:ascii="Times New Roman" w:eastAsia="Calibri" w:hAnsi="Times New Roman" w:cs="Times New Roman"/>
          <w:b/>
          <w:sz w:val="20"/>
          <w:szCs w:val="20"/>
        </w:rPr>
        <w:t xml:space="preserve">Część 9 : </w:t>
      </w:r>
      <w:r w:rsidRPr="00FC5435">
        <w:rPr>
          <w:rFonts w:ascii="Calibri" w:eastAsia="Calibri" w:hAnsi="Calibri" w:cs="Times New Roman"/>
          <w:b/>
          <w:sz w:val="20"/>
          <w:szCs w:val="20"/>
        </w:rPr>
        <w:t xml:space="preserve">Elementy eksploatacyjne </w:t>
      </w:r>
      <w:r w:rsidRPr="00FC5435">
        <w:rPr>
          <w:rFonts w:ascii="Calibri" w:eastAsia="Calibri" w:hAnsi="Calibri" w:cs="Times New Roman"/>
          <w:sz w:val="20"/>
          <w:szCs w:val="20"/>
        </w:rPr>
        <w:t xml:space="preserve">zestawu </w:t>
      </w:r>
      <w:proofErr w:type="spellStart"/>
      <w:r w:rsidRPr="00FC5435">
        <w:rPr>
          <w:rFonts w:ascii="Calibri" w:eastAsia="Calibri" w:hAnsi="Calibri" w:cs="Times New Roman"/>
          <w:b/>
          <w:sz w:val="20"/>
          <w:szCs w:val="20"/>
        </w:rPr>
        <w:t>FIACompact</w:t>
      </w:r>
      <w:proofErr w:type="spellEnd"/>
      <w:r w:rsidRPr="00FC5435">
        <w:rPr>
          <w:rFonts w:ascii="Calibri" w:eastAsia="Calibri" w:hAnsi="Calibri" w:cs="Times New Roman"/>
          <w:b/>
          <w:sz w:val="20"/>
          <w:szCs w:val="20"/>
        </w:rPr>
        <w:t>/</w:t>
      </w:r>
      <w:proofErr w:type="spellStart"/>
      <w:r w:rsidRPr="00FC5435">
        <w:rPr>
          <w:rFonts w:ascii="Calibri" w:eastAsia="Calibri" w:hAnsi="Calibri" w:cs="Times New Roman"/>
          <w:b/>
          <w:sz w:val="20"/>
          <w:szCs w:val="20"/>
        </w:rPr>
        <w:t>FIAModula</w:t>
      </w:r>
      <w:proofErr w:type="spellEnd"/>
    </w:p>
    <w:tbl>
      <w:tblPr>
        <w:tblW w:w="11624" w:type="dxa"/>
        <w:tblInd w:w="-781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3544"/>
        <w:gridCol w:w="567"/>
        <w:gridCol w:w="567"/>
        <w:gridCol w:w="1134"/>
        <w:gridCol w:w="1134"/>
        <w:gridCol w:w="567"/>
        <w:gridCol w:w="851"/>
        <w:gridCol w:w="1134"/>
        <w:gridCol w:w="1559"/>
      </w:tblGrid>
      <w:tr w:rsidR="00FC5435" w:rsidRPr="00FC5435" w:rsidTr="00885D5F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ind w:left="316" w:hanging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C5435" w:rsidRPr="00FC5435" w:rsidTr="00885D5F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85D5F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Membrana do dyfuzji, do oznaczania związków siarki i azotu;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Pętla szara-szara pojemności 400 µL do oznaczania związków azotu;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Pętla fiolet-fiolet pojemności 200 µL do oznaczania siarczynów; kompatybilna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pomarańczowy-żółty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3-stop, 0,51 mm;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0,8 x 1250 mm;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pomiarowa  przepływowa kompatybilna  z zestawem  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Dyfuzor gazowy do oznaczania  siarczków,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Dyfuzor gazowy do oznaczania  amoniaku, kompatybilny z zestawem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FIACompact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FIAModula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Naczynia PP 18 ml, 22 x 55 mm, kompatybilne z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FIAsampler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(53 pozycje)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85D5F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C5435" w:rsidRDefault="00FC5435" w:rsidP="00A0706E">
      <w:pPr>
        <w:spacing w:after="240"/>
        <w:ind w:hanging="851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543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10 : Elementy eksploatacyjne do  posiadanych  przez Zamawiającego analizatorów Skalar </w:t>
      </w:r>
    </w:p>
    <w:p w:rsidR="00893F17" w:rsidRPr="00FC5435" w:rsidRDefault="00893F17" w:rsidP="00A0706E">
      <w:pPr>
        <w:spacing w:after="240"/>
        <w:ind w:hanging="851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11199" w:type="dxa"/>
        <w:tblInd w:w="-781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3544"/>
        <w:gridCol w:w="709"/>
        <w:gridCol w:w="709"/>
        <w:gridCol w:w="992"/>
        <w:gridCol w:w="851"/>
        <w:gridCol w:w="567"/>
        <w:gridCol w:w="850"/>
        <w:gridCol w:w="1134"/>
        <w:gridCol w:w="1134"/>
      </w:tblGrid>
      <w:tr w:rsidR="00FC5435" w:rsidRPr="00FC5435" w:rsidTr="00893F17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ind w:left="76" w:hanging="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C5435" w:rsidRPr="00FC5435" w:rsidTr="00893F17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C54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C5435" w:rsidRPr="00FC5435" w:rsidTr="00893F17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Naczyńka na próbki, poj. 3,5ml, z tworzywa, bezpieczne dla oznaczania detergentów niejonowych, detergentów anionowych, cyjanków i fenoli, odpowiednie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Skalar SA1000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1000szt.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Naczyńka na próbki, poj. 10ml, z tworzywa, bezpieczne dla oznaczania cyjanków i fenoli, odpowiednie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Skalar SA1050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1000szt.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Smar do klap pomp analizatorów Skalar SAN++, 50 ml,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Zwilżacz do złączek w module analitycznym analizatora </w:t>
            </w:r>
            <w:r w:rsidR="00893F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 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Skalar SAN++, 25ml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Trójnik szklany duży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debubbler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Trójnik szklany średni 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debubbler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analizatora Skalar SAN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Rozgałęźnik 4-ramienny szklany z dwiema igłami Pt-Ir, średnica 2.0 mm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szary/szary,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pom./pom.,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3-mostkowy,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fiolet./fiolet.,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czerwony/czerwony,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pom./żółty,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biały/biały,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czarny/czarny,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niebieski/niebieski,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transportujący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tygon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3-mostkowy, pom./zielony,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3-mostkowy, szary/szary,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niebieski/niebieski,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biały/biały,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fiol./fiol.,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Wężyki pompy płuczącej do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samplera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SA1000,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/,,średnica 2,5mm, nr kat.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/,,, średnica 3,2 mm,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Roztwór wspomagający separację faz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(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phase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separator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coating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), 25ml,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przepływowa do oznaczania detergentów anionowych i niejonowych do analizatora Skalar San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++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Kuweta przepływowa do oznaczania cyjanków ogólnych i wolnych oraz indeksu fenolowego do analizatora Skalar San+,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żółty/żółty,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 transportujący kwasoodporny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  3-mostkowy, pomarańcz./pomarańcz.,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893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="00893F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Mufa kwasoodporna /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flex</w:t>
            </w:r>
            <w:proofErr w:type="spellEnd"/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/,,średnica 1,9 mm, do analizatora Skalar SAN++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5435" w:rsidRPr="00FC5435" w:rsidTr="00893F17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54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5435" w:rsidRPr="00FC5435" w:rsidRDefault="00FC5435" w:rsidP="00FC5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C5435" w:rsidRPr="00FC5435" w:rsidRDefault="00FC5435" w:rsidP="00FC5435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C5435" w:rsidRPr="00FC5435" w:rsidRDefault="00FC5435" w:rsidP="00FC5435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GoBack"/>
      <w:bookmarkEnd w:id="0"/>
    </w:p>
    <w:p w:rsidR="00885D5F" w:rsidRPr="00885D5F" w:rsidRDefault="00885D5F" w:rsidP="00885D5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885D5F" w:rsidRPr="00885D5F" w:rsidRDefault="00885D5F" w:rsidP="00885D5F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885D5F">
        <w:rPr>
          <w:rFonts w:ascii="Times New Roman" w:eastAsia="Calibri" w:hAnsi="Times New Roman" w:cs="Times New Roman"/>
          <w:b/>
          <w:sz w:val="20"/>
          <w:szCs w:val="20"/>
          <w:u w:val="single"/>
        </w:rPr>
        <w:t>OŚWIADCZENIE RODO DLA WYKONAWCY</w:t>
      </w:r>
    </w:p>
    <w:p w:rsidR="00885D5F" w:rsidRPr="00885D5F" w:rsidRDefault="00885D5F" w:rsidP="00885D5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- administratorem danych osobowych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jest: </w:t>
      </w:r>
      <w:r w:rsidRPr="00885D5F">
        <w:rPr>
          <w:rFonts w:ascii="Times New Roman" w:eastAsia="Calibri" w:hAnsi="Times New Roman" w:cs="Times New Roman"/>
          <w:i/>
          <w:sz w:val="20"/>
          <w:szCs w:val="20"/>
        </w:rPr>
        <w:t>Główny Instytut Górnictwa, Plac Gwarków 1,40 - 166 Katowice,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B0F0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- inspektorem ochrony danych osobowych w </w:t>
      </w:r>
      <w:r w:rsidRPr="00885D5F">
        <w:rPr>
          <w:rFonts w:ascii="Times New Roman" w:eastAsia="Calibri" w:hAnsi="Times New Roman" w:cs="Times New Roman"/>
          <w:i/>
          <w:sz w:val="20"/>
          <w:szCs w:val="20"/>
        </w:rPr>
        <w:t xml:space="preserve">Głównym Instytucie Górnictwa 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jest Pani: </w:t>
      </w:r>
      <w:r w:rsidRPr="00885D5F">
        <w:rPr>
          <w:rFonts w:ascii="Times New Roman" w:eastAsia="Calibri" w:hAnsi="Times New Roman" w:cs="Times New Roman"/>
          <w:i/>
          <w:sz w:val="20"/>
          <w:szCs w:val="20"/>
        </w:rPr>
        <w:t>mgr Katarzyna Kareł, e-mail:</w:t>
      </w:r>
      <w:r w:rsidRPr="00885D5F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</w:t>
      </w:r>
      <w:hyperlink r:id="rId10" w:history="1">
        <w:r w:rsidRPr="00885D5F">
          <w:rPr>
            <w:rFonts w:ascii="Times New Roman" w:eastAsia="Calibri" w:hAnsi="Times New Roman" w:cs="Times New Roman"/>
            <w:i/>
            <w:color w:val="0000FF"/>
            <w:sz w:val="20"/>
            <w:szCs w:val="20"/>
            <w:u w:val="single"/>
          </w:rPr>
          <w:t>gdpr@gig.eu</w:t>
        </w:r>
      </w:hyperlink>
      <w:r w:rsidRPr="00885D5F">
        <w:rPr>
          <w:rFonts w:ascii="Times New Roman" w:eastAsia="Calibri" w:hAnsi="Times New Roman" w:cs="Times New Roman"/>
          <w:i/>
          <w:sz w:val="20"/>
          <w:szCs w:val="20"/>
        </w:rPr>
        <w:t>.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85D5F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- dane osobowe 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przetwarzane będą na podstawie art. 6 ust. 1 lit. c</w:t>
      </w:r>
      <w:r w:rsidRPr="00885D5F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RODO w celu związanym z niniejszym wstępnym zapytaniem ofertowym, 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- odbiorcami danych osobowych 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- dane osobowe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 będą przechowywane przez okres 4 lat, 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- w odniesieniu do danych osobowych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 decyzje nie będą podejmowane w sposób zautomatyzowany, stosowanie do art. 22 RODO;</w:t>
      </w:r>
    </w:p>
    <w:p w:rsidR="00885D5F" w:rsidRPr="00885D5F" w:rsidRDefault="00885D5F" w:rsidP="00885D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b/>
          <w:sz w:val="20"/>
          <w:szCs w:val="20"/>
        </w:rPr>
        <w:t>- WYKONAWCA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posiada :</w:t>
      </w:r>
    </w:p>
    <w:p w:rsidR="00885D5F" w:rsidRPr="00885D5F" w:rsidRDefault="00885D5F" w:rsidP="00885D5F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na podstawie art. 15 RODO prawo dostępu do danych osobowych dotyczących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;</w:t>
      </w:r>
    </w:p>
    <w:p w:rsidR="00885D5F" w:rsidRPr="00885D5F" w:rsidRDefault="00885D5F" w:rsidP="00885D5F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na podstawie art. 16 RODO prawo do sprostowania danych osobowych 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885D5F">
        <w:rPr>
          <w:rFonts w:ascii="Times New Roman" w:eastAsia="Calibri" w:hAnsi="Times New Roman" w:cs="Times New Roman"/>
          <w:b/>
          <w:sz w:val="20"/>
          <w:szCs w:val="20"/>
          <w:vertAlign w:val="superscript"/>
        </w:rPr>
        <w:t xml:space="preserve"> </w:t>
      </w:r>
      <w:r w:rsidRPr="00885D5F">
        <w:rPr>
          <w:rFonts w:ascii="Times New Roman" w:eastAsia="Calibri" w:hAnsi="Times New Roman" w:cs="Times New Roman"/>
          <w:sz w:val="20"/>
          <w:szCs w:val="20"/>
        </w:rPr>
        <w:t>;</w:t>
      </w:r>
    </w:p>
    <w:p w:rsidR="00885D5F" w:rsidRPr="00885D5F" w:rsidRDefault="00885D5F" w:rsidP="00885D5F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885D5F">
        <w:rPr>
          <w:rFonts w:ascii="Times New Roman" w:eastAsia="Calibri" w:hAnsi="Times New Roman" w:cs="Times New Roman"/>
          <w:sz w:val="20"/>
          <w:szCs w:val="20"/>
        </w:rPr>
        <w:br/>
        <w:t xml:space="preserve">z zastrzeżeniem przypadków, o których mowa w art. 18 ust. 2 RODO ;  </w:t>
      </w:r>
    </w:p>
    <w:p w:rsidR="00885D5F" w:rsidRPr="00885D5F" w:rsidRDefault="00885D5F" w:rsidP="00885D5F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prawo do wniesienia skargi do Prezesa Urzędu Ochrony Danych Osobowych, gdy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WYKONAWCA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885D5F" w:rsidRPr="00885D5F" w:rsidRDefault="00885D5F" w:rsidP="00885D5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b/>
          <w:sz w:val="20"/>
          <w:szCs w:val="20"/>
        </w:rPr>
        <w:t>-    WYKONAWCY</w:t>
      </w:r>
      <w:r w:rsidRPr="00885D5F">
        <w:rPr>
          <w:rFonts w:ascii="Times New Roman" w:eastAsia="Calibri" w:hAnsi="Times New Roman" w:cs="Times New Roman"/>
          <w:sz w:val="20"/>
          <w:szCs w:val="20"/>
        </w:rPr>
        <w:t xml:space="preserve"> nie przysługuje:</w:t>
      </w:r>
    </w:p>
    <w:p w:rsidR="00885D5F" w:rsidRPr="00885D5F" w:rsidRDefault="00885D5F" w:rsidP="00885D5F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w związku z art. 17 ust. 3 lit. b, d lub e RODO prawo do usunięcia danych osobowych;</w:t>
      </w:r>
    </w:p>
    <w:p w:rsidR="00885D5F" w:rsidRPr="00885D5F" w:rsidRDefault="00885D5F" w:rsidP="00885D5F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sz w:val="20"/>
          <w:szCs w:val="20"/>
        </w:rPr>
        <w:t>prawo do przenoszenia danych osobowych, o którym mowa w art. 20 RODO;</w:t>
      </w:r>
    </w:p>
    <w:p w:rsidR="00885D5F" w:rsidRPr="00885D5F" w:rsidRDefault="00885D5F" w:rsidP="00885D5F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885D5F">
        <w:rPr>
          <w:rFonts w:ascii="Times New Roman" w:eastAsia="Calibri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885D5F">
        <w:rPr>
          <w:rFonts w:ascii="Times New Roman" w:eastAsia="Calibri" w:hAnsi="Times New Roman" w:cs="Times New Roman"/>
          <w:sz w:val="20"/>
          <w:szCs w:val="20"/>
        </w:rPr>
        <w:t>.</w:t>
      </w:r>
      <w:r w:rsidRPr="00885D5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85D5F" w:rsidRPr="00885D5F" w:rsidRDefault="00885D5F" w:rsidP="00885D5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885D5F" w:rsidRPr="00885D5F" w:rsidRDefault="00885D5F" w:rsidP="00885D5F">
      <w:pPr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  <w:sectPr w:rsidR="00885D5F" w:rsidRPr="00885D5F" w:rsidSect="00885D5F">
          <w:footerReference w:type="default" r:id="rId11"/>
          <w:pgSz w:w="11906" w:h="16838" w:code="9"/>
          <w:pgMar w:top="737" w:right="991" w:bottom="1418" w:left="993" w:header="680" w:footer="255" w:gutter="0"/>
          <w:cols w:space="708"/>
          <w:docGrid w:linePitch="360"/>
        </w:sectPr>
      </w:pP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885D5F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            Podpis</w:t>
      </w:r>
    </w:p>
    <w:p w:rsidR="0079144D" w:rsidRDefault="0079144D"/>
    <w:sectPr w:rsidR="0079144D" w:rsidSect="005B7E75">
      <w:headerReference w:type="default" r:id="rId12"/>
      <w:footerReference w:type="default" r:id="rId13"/>
      <w:pgSz w:w="11906" w:h="16838"/>
      <w:pgMar w:top="568" w:right="42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41A" w:rsidRDefault="00FE041A" w:rsidP="00A44382">
      <w:pPr>
        <w:spacing w:after="0" w:line="240" w:lineRule="auto"/>
      </w:pPr>
      <w:r>
        <w:separator/>
      </w:r>
    </w:p>
  </w:endnote>
  <w:endnote w:type="continuationSeparator" w:id="0">
    <w:p w:rsidR="00FE041A" w:rsidRDefault="00FE041A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5922287"/>
      <w:docPartObj>
        <w:docPartGallery w:val="Page Numbers (Bottom of Page)"/>
        <w:docPartUnique/>
      </w:docPartObj>
    </w:sdtPr>
    <w:sdtContent>
      <w:p w:rsidR="00885D5F" w:rsidRDefault="00885D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F17">
          <w:rPr>
            <w:noProof/>
          </w:rPr>
          <w:t>12</w:t>
        </w:r>
        <w:r>
          <w:fldChar w:fldCharType="end"/>
        </w:r>
      </w:p>
    </w:sdtContent>
  </w:sdt>
  <w:p w:rsidR="00885D5F" w:rsidRDefault="00885D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Content>
      <w:p w:rsidR="00885D5F" w:rsidRDefault="00885D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F17">
          <w:rPr>
            <w:noProof/>
          </w:rPr>
          <w:t>13</w:t>
        </w:r>
        <w:r>
          <w:fldChar w:fldCharType="end"/>
        </w:r>
      </w:p>
    </w:sdtContent>
  </w:sdt>
  <w:p w:rsidR="00885D5F" w:rsidRDefault="00885D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41A" w:rsidRDefault="00FE041A" w:rsidP="00A44382">
      <w:pPr>
        <w:spacing w:after="0" w:line="240" w:lineRule="auto"/>
      </w:pPr>
      <w:r>
        <w:separator/>
      </w:r>
    </w:p>
  </w:footnote>
  <w:footnote w:type="continuationSeparator" w:id="0">
    <w:p w:rsidR="00FE041A" w:rsidRDefault="00FE041A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5F" w:rsidRDefault="00885D5F" w:rsidP="00FC5435">
    <w:pPr>
      <w:pStyle w:val="Nagwek"/>
    </w:pPr>
  </w:p>
  <w:p w:rsidR="00885D5F" w:rsidRDefault="00885D5F" w:rsidP="00FC5435">
    <w:pPr>
      <w:pStyle w:val="Nagwek"/>
    </w:pPr>
  </w:p>
  <w:p w:rsidR="00885D5F" w:rsidRPr="00FC5435" w:rsidRDefault="00885D5F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A549D"/>
    <w:multiLevelType w:val="hybridMultilevel"/>
    <w:tmpl w:val="86BA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2">
    <w:nsid w:val="28BD0690"/>
    <w:multiLevelType w:val="hybridMultilevel"/>
    <w:tmpl w:val="D0C47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B14195"/>
    <w:multiLevelType w:val="hybridMultilevel"/>
    <w:tmpl w:val="AC0E3C4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6340A"/>
    <w:multiLevelType w:val="hybridMultilevel"/>
    <w:tmpl w:val="4072C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40816FD"/>
    <w:multiLevelType w:val="hybridMultilevel"/>
    <w:tmpl w:val="56126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3B3E7B"/>
    <w:multiLevelType w:val="hybridMultilevel"/>
    <w:tmpl w:val="5EE61920"/>
    <w:lvl w:ilvl="0" w:tplc="1EE8FD6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4C2AB9"/>
    <w:multiLevelType w:val="hybridMultilevel"/>
    <w:tmpl w:val="79541F26"/>
    <w:lvl w:ilvl="0" w:tplc="C478EC6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5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2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6"/>
  </w:num>
  <w:num w:numId="7">
    <w:abstractNumId w:val="31"/>
  </w:num>
  <w:num w:numId="8">
    <w:abstractNumId w:val="13"/>
  </w:num>
  <w:num w:numId="9">
    <w:abstractNumId w:val="4"/>
  </w:num>
  <w:num w:numId="10">
    <w:abstractNumId w:val="6"/>
  </w:num>
  <w:num w:numId="11">
    <w:abstractNumId w:val="26"/>
  </w:num>
  <w:num w:numId="12">
    <w:abstractNumId w:val="0"/>
  </w:num>
  <w:num w:numId="13">
    <w:abstractNumId w:val="20"/>
  </w:num>
  <w:num w:numId="14">
    <w:abstractNumId w:val="34"/>
  </w:num>
  <w:num w:numId="15">
    <w:abstractNumId w:val="29"/>
  </w:num>
  <w:num w:numId="16">
    <w:abstractNumId w:val="8"/>
  </w:num>
  <w:num w:numId="17">
    <w:abstractNumId w:val="11"/>
  </w:num>
  <w:num w:numId="18">
    <w:abstractNumId w:val="1"/>
  </w:num>
  <w:num w:numId="19">
    <w:abstractNumId w:val="21"/>
  </w:num>
  <w:num w:numId="20">
    <w:abstractNumId w:val="10"/>
  </w:num>
  <w:num w:numId="21">
    <w:abstractNumId w:val="7"/>
  </w:num>
  <w:num w:numId="22">
    <w:abstractNumId w:val="18"/>
  </w:num>
  <w:num w:numId="2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7"/>
  </w:num>
  <w:num w:numId="27">
    <w:abstractNumId w:val="28"/>
  </w:num>
  <w:num w:numId="28">
    <w:abstractNumId w:val="14"/>
  </w:num>
  <w:num w:numId="29">
    <w:abstractNumId w:val="33"/>
  </w:num>
  <w:num w:numId="30">
    <w:abstractNumId w:val="2"/>
  </w:num>
  <w:num w:numId="31">
    <w:abstractNumId w:val="24"/>
  </w:num>
  <w:num w:numId="32">
    <w:abstractNumId w:val="23"/>
  </w:num>
  <w:num w:numId="33">
    <w:abstractNumId w:val="15"/>
  </w:num>
  <w:num w:numId="34">
    <w:abstractNumId w:val="9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1D4D54"/>
    <w:rsid w:val="001F100B"/>
    <w:rsid w:val="002B5755"/>
    <w:rsid w:val="00320A02"/>
    <w:rsid w:val="005B7E75"/>
    <w:rsid w:val="006A4945"/>
    <w:rsid w:val="007227DD"/>
    <w:rsid w:val="0079144D"/>
    <w:rsid w:val="00885D5F"/>
    <w:rsid w:val="00893F17"/>
    <w:rsid w:val="008F3F89"/>
    <w:rsid w:val="00901774"/>
    <w:rsid w:val="00A0706E"/>
    <w:rsid w:val="00A44382"/>
    <w:rsid w:val="00AE3DA1"/>
    <w:rsid w:val="00B33507"/>
    <w:rsid w:val="00FA3854"/>
    <w:rsid w:val="00FC5435"/>
    <w:rsid w:val="00FE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3558</Words>
  <Characters>21348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5</cp:revision>
  <cp:lastPrinted>2019-09-19T11:47:00Z</cp:lastPrinted>
  <dcterms:created xsi:type="dcterms:W3CDTF">2020-08-03T12:08:00Z</dcterms:created>
  <dcterms:modified xsi:type="dcterms:W3CDTF">2020-08-04T05:09:00Z</dcterms:modified>
</cp:coreProperties>
</file>