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E95567" w:rsidP="002935D6">
      <w:pPr>
        <w:ind w:left="708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FZ-1/</w:t>
      </w:r>
      <w:r w:rsidR="002935D6">
        <w:rPr>
          <w:rFonts w:ascii="Times New Roman" w:eastAsia="Calibri" w:hAnsi="Times New Roman" w:cs="Times New Roman"/>
        </w:rPr>
        <w:t>5291-1/KB/19/SC</w:t>
      </w:r>
      <w:r w:rsidR="002B5755" w:rsidRPr="006E78D3">
        <w:rPr>
          <w:rFonts w:ascii="Times New Roman" w:eastAsia="Calibri" w:hAnsi="Times New Roman" w:cs="Times New Roman"/>
        </w:rPr>
        <w:tab/>
      </w:r>
      <w:r w:rsidR="002935D6">
        <w:rPr>
          <w:rFonts w:ascii="Times New Roman" w:eastAsia="Calibri" w:hAnsi="Times New Roman" w:cs="Times New Roman"/>
        </w:rPr>
        <w:t xml:space="preserve">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      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3424BE">
        <w:rPr>
          <w:rFonts w:ascii="Times New Roman" w:eastAsia="Calibri" w:hAnsi="Times New Roman" w:cs="Times New Roman"/>
          <w:b/>
        </w:rPr>
        <w:t>0</w:t>
      </w:r>
      <w:r w:rsidR="00EB4737">
        <w:rPr>
          <w:rFonts w:ascii="Times New Roman" w:eastAsia="Calibri" w:hAnsi="Times New Roman" w:cs="Times New Roman"/>
          <w:b/>
        </w:rPr>
        <w:t>3</w:t>
      </w:r>
      <w:r w:rsidR="003424BE">
        <w:rPr>
          <w:rFonts w:ascii="Times New Roman" w:eastAsia="Calibri" w:hAnsi="Times New Roman" w:cs="Times New Roman"/>
          <w:b/>
        </w:rPr>
        <w:t>.01.2020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Pr="006E78D3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="00A76CA1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analizatora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…………………….………,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3424BE">
        <w:rPr>
          <w:rFonts w:ascii="Times New Roman" w:eastAsia="Times New Roman" w:hAnsi="Times New Roman" w:cs="Times New Roman"/>
          <w:b/>
          <w:u w:val="single"/>
        </w:rPr>
        <w:t>13.01</w:t>
      </w:r>
      <w:r w:rsidR="00A76CA1">
        <w:rPr>
          <w:rFonts w:ascii="Times New Roman" w:eastAsia="Times New Roman" w:hAnsi="Times New Roman" w:cs="Times New Roman"/>
          <w:b/>
          <w:u w:val="single"/>
        </w:rPr>
        <w:t>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lub </w:t>
      </w:r>
      <w:r w:rsidRPr="006E78D3">
        <w:rPr>
          <w:rFonts w:ascii="Times New Roman" w:eastAsia="Times New Roman" w:hAnsi="Times New Roman" w:cs="Times New Roman"/>
        </w:rPr>
        <w:br/>
        <w:t>w siedzibie Zamawiającego: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Główny Instytut Górnictwa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Plac Gwarków 1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40-166 Katowice</w:t>
      </w:r>
    </w:p>
    <w:p w:rsidR="001F100B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6E78D3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1F100B" w:rsidRDefault="002C54BD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8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lang w:val="pt-PT"/>
          </w:rPr>
          <w:t>kbula@gig.eu</w:t>
        </w:r>
      </w:hyperlink>
    </w:p>
    <w:p w:rsidR="001F100B" w:rsidRDefault="001F100B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2B5755" w:rsidRPr="006E78D3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="001F100B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A76CA1" w:rsidRPr="00A76CA1" w:rsidRDefault="00A76CA1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eastAsia="x-none"/>
        </w:rPr>
      </w:pP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A76CA1" w:rsidRDefault="00A76CA1" w:rsidP="00A76CA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A76CA1" w:rsidRDefault="00A76CA1" w:rsidP="00A76CA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F2167B" w:rsidRPr="00F2167B" w:rsidRDefault="00F2167B" w:rsidP="00F2167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SPECYFIKACJA TECHNICZNA </w:t>
      </w:r>
      <w:r w:rsidRPr="00F216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br/>
        <w:t>ANALIZATORA AOX</w:t>
      </w:r>
    </w:p>
    <w:p w:rsidR="00F2167B" w:rsidRPr="00F2167B" w:rsidRDefault="00F2167B" w:rsidP="00F2167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9"/>
        <w:gridCol w:w="6337"/>
        <w:gridCol w:w="1690"/>
        <w:gridCol w:w="1057"/>
      </w:tblGrid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39" w:type="dxa"/>
            <w:vAlign w:val="center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Lp.</w:t>
            </w:r>
          </w:p>
        </w:tc>
        <w:tc>
          <w:tcPr>
            <w:tcW w:w="6337" w:type="dxa"/>
            <w:vAlign w:val="center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Konfiguracja analizatora</w:t>
            </w:r>
          </w:p>
        </w:tc>
        <w:tc>
          <w:tcPr>
            <w:tcW w:w="1690" w:type="dxa"/>
            <w:vAlign w:val="center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Jednostka miary</w:t>
            </w:r>
          </w:p>
        </w:tc>
        <w:tc>
          <w:tcPr>
            <w:tcW w:w="1057" w:type="dxa"/>
            <w:vAlign w:val="center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Ilość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1142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1.</w:t>
            </w: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Analizator AOX w wodzie i ściekach, pracujący w technice wysokotemperaturowego spalania w strumieniu tlenu, pomiar końcowy zawartości chloru techniką miareczkowania </w:t>
            </w:r>
            <w:proofErr w:type="spellStart"/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mikrokulometrycznego</w:t>
            </w:r>
            <w:proofErr w:type="spellEnd"/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, adsorpcja AOX w technice kolumnowej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komplet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2.</w:t>
            </w: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Stacja przygotowania  próbek metodą kolumnową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komplet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3.</w:t>
            </w:r>
          </w:p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Zapas materiałów eksploatacyjnych, w tym rezerwowe elementy do poszczególnych modułów instrumentu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komplet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4.</w:t>
            </w: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Oprogramowanie do sterowania i akwizycji danych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komplet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5.</w:t>
            </w: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Komputer sterujący klasy PC wraz z monitorem i oprogramowaniem systemowym oraz zasilacz UPS.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komplet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1</w:t>
            </w:r>
          </w:p>
        </w:tc>
      </w:tr>
      <w:tr w:rsidR="00F2167B" w:rsidRPr="00F2167B" w:rsidTr="009A70D9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739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6.</w:t>
            </w:r>
          </w:p>
        </w:tc>
        <w:tc>
          <w:tcPr>
            <w:tcW w:w="633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pl-PL"/>
              </w:rPr>
            </w:pPr>
            <w:proofErr w:type="spellStart"/>
            <w:r w:rsidRPr="00F2167B">
              <w:rPr>
                <w:rFonts w:ascii="Times New Roman" w:eastAsia="Times New Roman" w:hAnsi="Times New Roman" w:cs="Times New Roman"/>
                <w:szCs w:val="20"/>
                <w:lang w:val="en-US" w:eastAsia="pl-PL"/>
              </w:rPr>
              <w:t>Zasilanie</w:t>
            </w:r>
            <w:proofErr w:type="spellEnd"/>
            <w:r w:rsidRPr="00F2167B">
              <w:rPr>
                <w:rFonts w:ascii="Times New Roman" w:eastAsia="Times New Roman" w:hAnsi="Times New Roman" w:cs="Times New Roman"/>
                <w:szCs w:val="20"/>
                <w:lang w:val="en-US" w:eastAsia="pl-PL"/>
              </w:rPr>
              <w:t xml:space="preserve"> </w:t>
            </w:r>
            <w:proofErr w:type="spellStart"/>
            <w:r w:rsidRPr="00F2167B">
              <w:rPr>
                <w:rFonts w:ascii="Times New Roman" w:eastAsia="Times New Roman" w:hAnsi="Times New Roman" w:cs="Times New Roman"/>
                <w:szCs w:val="20"/>
                <w:lang w:val="en-US" w:eastAsia="pl-PL"/>
              </w:rPr>
              <w:t>urządzeń</w:t>
            </w:r>
            <w:proofErr w:type="spellEnd"/>
            <w:r w:rsidRPr="00F2167B">
              <w:rPr>
                <w:rFonts w:ascii="Times New Roman" w:eastAsia="Times New Roman" w:hAnsi="Times New Roman" w:cs="Times New Roman"/>
                <w:szCs w:val="20"/>
                <w:lang w:val="en-US" w:eastAsia="pl-PL"/>
              </w:rPr>
              <w:t xml:space="preserve"> 230V, 50 Hz</w:t>
            </w:r>
          </w:p>
        </w:tc>
        <w:tc>
          <w:tcPr>
            <w:tcW w:w="1690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-</w:t>
            </w:r>
          </w:p>
        </w:tc>
        <w:tc>
          <w:tcPr>
            <w:tcW w:w="1057" w:type="dxa"/>
          </w:tcPr>
          <w:p w:rsidR="00F2167B" w:rsidRPr="00F2167B" w:rsidRDefault="00F2167B" w:rsidP="00F21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F2167B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>-</w:t>
            </w:r>
          </w:p>
        </w:tc>
      </w:tr>
    </w:tbl>
    <w:p w:rsidR="00F2167B" w:rsidRPr="00F2167B" w:rsidRDefault="00F2167B" w:rsidP="00F2167B">
      <w:pPr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F2167B" w:rsidRPr="00F2167B" w:rsidRDefault="00F2167B" w:rsidP="00F2167B">
      <w:pPr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Wymagania szczegółowe:</w:t>
      </w:r>
    </w:p>
    <w:p w:rsidR="00F2167B" w:rsidRPr="00F2167B" w:rsidRDefault="00F2167B" w:rsidP="00F2167B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Ad. 1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br/>
      </w:r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- zakres pomiarowy chloru absolutnego od 1 </w:t>
      </w:r>
      <w:proofErr w:type="spellStart"/>
      <w:r w:rsidRPr="00F2167B">
        <w:rPr>
          <w:rFonts w:ascii="Times New Roman" w:eastAsia="Times New Roman" w:hAnsi="Times New Roman" w:cs="Times New Roman"/>
          <w:szCs w:val="20"/>
          <w:lang w:eastAsia="pl-PL"/>
        </w:rPr>
        <w:t>ug</w:t>
      </w:r>
      <w:proofErr w:type="spellEnd"/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 z precyzją dla zawartości 5 µg/l nie gorszą, niż 20% (przy założeniu przeprowadzenia sorpcji z objętości 100 ml próby na szeregowo połączonych: sączku wstępnym oraz dwóch kolumienkach z węglem aktywnym); spełnienie niniejszego warunku musi zostać wykazane przez Oferenta w trakcie uruchomienia urządzenia;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górna granica zakresu roboczego nie mniejsza niż 100 µg/l (przy objętości 100 ml);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elektrody pomiarowe zintegrowane, w znacznym stopniu bezobsługowe, cela pomiarowa w całości termostatowana poniżej temperatury otoczenia;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urządzenie sterowane z zewnętrznego komputera, oprogramowanie działające w środowisku graficznym;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nie dopuszcza się, aby urządzenie wymagało chłodzenia cieczą (w tym wodą), zarówno w układzie przepływowym, jak i w obiegu zamkniętym;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automatyczny podajnik do kolumienek z węglem na co najmniej 30 pozycji;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wykonywane oznaczenie zgodne z normą PN-EN ISO 9562:2007, metoda kolumnowa;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system podwójnego pieca umożliwiający pracę zarówno w pozycji pionowej jak i w pozycji poziomej pieca w jednym aparacie bez potrzeby dodatkowej rozbudowy analizatora;</w:t>
      </w:r>
    </w:p>
    <w:p w:rsid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możliwość rozbudowy o analizę EOX / POX;</w:t>
      </w:r>
    </w:p>
    <w:p w:rsidR="00EB4737" w:rsidRDefault="00EB4737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B4737" w:rsidRPr="00F2167B" w:rsidRDefault="00EB4737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- możliwość rozbudowy o analizę TX wraz z czujnikiem płomienia, który kontroluje prędkość spalania próby w piecu. 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Inne: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gwarancja na analizator i wyposażenie minimum 24 miesiące od dnia uruchomienia;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instrukcja do sprzętu i oprogramowania w jęz. polskim oraz oryginalna w jęz. angielskim w formie papierowej jak i komputerowej.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Ad2.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- stacja do adsorpcji AOX na węglu aktywnym umożliwiająca automatyczną, równoczesną obróbkę co najmniej sześciu próbek w technice kolumnowej; 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możliwość programowania objętości sorbowanej próbki;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-możliwość regulacji prędkości przepływu próbki przez kolumienki z węglem aktywnym;</w:t>
      </w:r>
    </w:p>
    <w:p w:rsidR="00F2167B" w:rsidRPr="00F2167B" w:rsidRDefault="00F2167B" w:rsidP="00F2167B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możliwość stosowania metody dwu jak i trzy kolumnowej.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Ad. 3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napełnione rurki adsorpcyjne, filtry wstępne, kuwety do spalań, wełna mineralna (jeśli wymagane) na 1000 analiz;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- zapasowa rura do spalań – 1 </w:t>
      </w:r>
      <w:proofErr w:type="spellStart"/>
      <w:r w:rsidRPr="00F2167B">
        <w:rPr>
          <w:rFonts w:ascii="Times New Roman" w:eastAsia="Times New Roman" w:hAnsi="Times New Roman" w:cs="Times New Roman"/>
          <w:szCs w:val="20"/>
          <w:lang w:eastAsia="pl-PL"/>
        </w:rPr>
        <w:t>szt</w:t>
      </w:r>
      <w:proofErr w:type="spellEnd"/>
      <w:r w:rsidRPr="00F2167B">
        <w:rPr>
          <w:rFonts w:ascii="Times New Roman" w:eastAsia="Times New Roman" w:hAnsi="Times New Roman" w:cs="Times New Roman"/>
          <w:szCs w:val="20"/>
          <w:lang w:eastAsia="pl-PL"/>
        </w:rPr>
        <w:t>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inne elementy zamienne i materiały zużywalne (zapasowe, nie objęte gwarancją) na 2 lata pracy (1000 analiz) oraz inne niezbędne elementy wyposażeniowe analizatora</w:t>
      </w: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</w:t>
      </w:r>
      <w:r w:rsidRPr="00F2167B">
        <w:rPr>
          <w:rFonts w:ascii="Times New Roman" w:eastAsia="Times New Roman" w:hAnsi="Times New Roman" w:cs="Times New Roman"/>
          <w:szCs w:val="20"/>
          <w:lang w:eastAsia="pl-PL"/>
        </w:rPr>
        <w:t>oraz urządzeń pomocniczych w zależności od modelu zaoferowanego przez daną firmę ( np. wężyki doprowadzające próbki, strzykawki dozujące próbki).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Ad. 4</w:t>
      </w: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</w:p>
    <w:p w:rsidR="00F2167B" w:rsidRPr="00F2167B" w:rsidRDefault="00F2167B" w:rsidP="00F2167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Wersja oprogramowania sterującego (w języku polskim) najnowsza w momencie dostawy instrumentu. Licencja. Gwarancja bezpłatnych uaktualnień co najmniej w okresie gwarancji urządzenia.</w:t>
      </w:r>
    </w:p>
    <w:p w:rsidR="00F2167B" w:rsidRPr="00F2167B" w:rsidRDefault="00F2167B" w:rsidP="00F2167B">
      <w:pPr>
        <w:spacing w:after="0" w:line="360" w:lineRule="auto"/>
        <w:ind w:left="360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Ad. 5 </w:t>
      </w:r>
      <w:r w:rsidRPr="00F2167B">
        <w:rPr>
          <w:rFonts w:ascii="Times New Roman" w:eastAsia="Times New Roman" w:hAnsi="Times New Roman" w:cs="Times New Roman"/>
          <w:szCs w:val="20"/>
          <w:lang w:eastAsia="pl-PL"/>
        </w:rPr>
        <w:t>Wymagania podstawowe:</w:t>
      </w:r>
    </w:p>
    <w:p w:rsidR="00F2167B" w:rsidRDefault="00F2167B" w:rsidP="00F2167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komputer z oprogramowaniem systemowym i sterującym zgodny z wymaganiami producenta analizatora (co najmniej jedno złącze Ethernet dostępne dla użytkownika);</w:t>
      </w:r>
    </w:p>
    <w:p w:rsidR="00EB4737" w:rsidRDefault="00EB4737" w:rsidP="00EB4737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B4737" w:rsidRPr="00F2167B" w:rsidRDefault="00EB4737" w:rsidP="00EB4737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monitor 24”, 16:10, matryca VA/IPS;</w:t>
      </w:r>
    </w:p>
    <w:p w:rsidR="00F2167B" w:rsidRPr="00F2167B" w:rsidRDefault="00F2167B" w:rsidP="00F2167B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pełnowymiarowa klawiatura, mysz bezprzewodowa;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-   zasilacz UPS co najmniej 1500 VA w technologii </w:t>
      </w:r>
      <w:proofErr w:type="spellStart"/>
      <w:r w:rsidRPr="00F2167B">
        <w:rPr>
          <w:rFonts w:ascii="Times New Roman" w:eastAsia="Times New Roman" w:hAnsi="Times New Roman" w:cs="Times New Roman"/>
          <w:szCs w:val="20"/>
          <w:lang w:eastAsia="pl-PL"/>
        </w:rPr>
        <w:t>line-interactive</w:t>
      </w:r>
      <w:proofErr w:type="spellEnd"/>
      <w:r w:rsidRPr="00F2167B">
        <w:rPr>
          <w:rFonts w:ascii="Times New Roman" w:eastAsia="Times New Roman" w:hAnsi="Times New Roman" w:cs="Times New Roman"/>
          <w:szCs w:val="20"/>
          <w:lang w:eastAsia="pl-PL"/>
        </w:rPr>
        <w:t xml:space="preserve"> lub on-line (podłączenie komputera i stacji przygotowania próbek).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>Inne wymagania:</w:t>
      </w:r>
      <w:r w:rsidRPr="00F2167B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Oferent zapewni montaż, uruchomienie i weryfikację poprawności działania kompletnego urządzenia oraz dwuetapowe szkolenie (bezpośrednio po montażu oraz kolejne po kilku miesiącach eksploatacji), obejmujące m.in. wyjaśnienie ewentualnych problemów analitycznych;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Oferent zapewni zgodność urządzenia z formalnymi wymaganiami techniczno-handlowymi Unii Europejskiej (np. deklaracja zgodności na oznaczenie CE , certyfikat jakości ISO900X, itp.);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Oferent wskaże w ofercie autoryzowany serwis gwarancyjny i pogwarancyjny na terenie Polski, określi koszt pracy serwisu (stawki za dojazd oraz pracę na miejscu, inne koszty); wymagany czas reakcji serwisu (rozumiany jako co najmniej pełne zdiagnozowanie uszkodzenia) – 3 dni robocze od dnia zgłoszenia usterki, czas skutecznej naprawy nie dłużej, niż dwa tygodnie;</w:t>
      </w:r>
    </w:p>
    <w:p w:rsidR="00F2167B" w:rsidRPr="00F2167B" w:rsidRDefault="00F2167B" w:rsidP="00F2167B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F2167B">
        <w:rPr>
          <w:rFonts w:ascii="Times New Roman" w:eastAsia="Times New Roman" w:hAnsi="Times New Roman" w:cs="Times New Roman"/>
          <w:szCs w:val="20"/>
          <w:lang w:eastAsia="pl-PL"/>
        </w:rPr>
        <w:t>- do oferty należy dołączyć szczegółowe materiały informacyjne (w języku polskim lub angielskim) opisujące typ (model) i producenta oferowanego urządzenia i jego wyposażenia, wygląd zewnętrzny, wymiary i podstawową charakterystykę działania, dokładne dane analityczne (zakres oznaczalności, precyzja i dokładność).</w:t>
      </w: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9144D" w:rsidRDefault="0079144D"/>
    <w:p w:rsidR="00EB4737" w:rsidRPr="00EB4737" w:rsidRDefault="00EB4737" w:rsidP="00EB473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  <w:r w:rsidRPr="00EB47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1,40 - 166 Katowice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EB47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Pan: 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B47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EB473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0" w:history="1">
        <w:r w:rsidRPr="00EB4737">
          <w:rPr>
            <w:rFonts w:ascii="Times New Roman" w:eastAsia="Times New Roman" w:hAnsi="Times New Roman" w:cs="Times New Roman"/>
            <w:b/>
            <w:i/>
            <w:color w:val="0000FF"/>
            <w:sz w:val="20"/>
            <w:szCs w:val="20"/>
            <w:u w:val="single"/>
            <w:lang w:eastAsia="pl-PL"/>
          </w:rPr>
          <w:t>kkarel@gig.eu</w:t>
        </w:r>
      </w:hyperlink>
      <w:r w:rsidRPr="00EB47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EB4737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tel. (032) 259 22 61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dane osobowe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EB473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niniejszą umową, 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osobowych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danych osobowych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decyzje nie będą podejmowane w sposób zautomatyzowany, stosowanie do art. 22 RODO;</w:t>
      </w:r>
    </w:p>
    <w:p w:rsidR="00EB4737" w:rsidRDefault="00EB4737" w:rsidP="00EB473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4737" w:rsidRDefault="00EB4737" w:rsidP="00EB473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4737" w:rsidRDefault="00EB4737" w:rsidP="00EB473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4737" w:rsidRPr="00EB4737" w:rsidRDefault="00EB4737" w:rsidP="00EB473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SPRZEDAJĄCY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EB4737" w:rsidRPr="00EB4737" w:rsidRDefault="00EB4737" w:rsidP="00EB4737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B4737" w:rsidRPr="00EB4737" w:rsidRDefault="00EB4737" w:rsidP="00EB4737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1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B4737" w:rsidRDefault="00EB4737" w:rsidP="00EB4737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EB473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EB4737" w:rsidRDefault="00EB4737" w:rsidP="00EB473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4737" w:rsidRPr="00EB4737" w:rsidRDefault="00EB4737" w:rsidP="00EB4737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SPRZEDAJĄCY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 dotyczących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SPRZEDAJĄCEGO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narusza przepisy RODO;</w:t>
      </w:r>
    </w:p>
    <w:p w:rsidR="00EB4737" w:rsidRPr="00EB4737" w:rsidRDefault="00EB4737" w:rsidP="00EB4737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SPRZEDAJĄCEMU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EB4737" w:rsidRPr="00EB4737" w:rsidRDefault="00EB4737" w:rsidP="00EB4737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EB4737" w:rsidRPr="00EB4737" w:rsidRDefault="00EB4737" w:rsidP="00EB4737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EB4737" w:rsidRPr="00EB4737" w:rsidRDefault="00EB4737" w:rsidP="00EB4737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danych osobowych </w:t>
      </w: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SPRZEDAJĄCEGO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jest art. 6 ust. 1 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EB473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EB4737" w:rsidRDefault="00EB4737" w:rsidP="00EB4737">
      <w:pPr>
        <w:tabs>
          <w:tab w:val="left" w:pos="426"/>
        </w:tabs>
        <w:autoSpaceDE w:val="0"/>
        <w:spacing w:after="0" w:line="23" w:lineRule="atLeast"/>
        <w:ind w:left="180" w:hanging="18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2.SPRZEDAJĄCY 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oświadcza, że wypełnił obowiązki informacyjne przewidziane w art. 13 lub art. 14 RODO</w:t>
      </w:r>
      <w:r w:rsidRPr="00EB473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 w celu ubiegania się o udzielenie zamówienia publicznego w niniejszym postępowaniu</w:t>
      </w:r>
      <w:r w:rsidRPr="00EB473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EB473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B4737" w:rsidRDefault="00EB4737" w:rsidP="00EB4737">
      <w:pPr>
        <w:tabs>
          <w:tab w:val="left" w:pos="426"/>
        </w:tabs>
        <w:autoSpaceDE w:val="0"/>
        <w:spacing w:after="0" w:line="23" w:lineRule="atLeast"/>
        <w:ind w:left="180" w:hanging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4737" w:rsidRPr="00EB4737" w:rsidRDefault="00EB4737" w:rsidP="00EB4737">
      <w:pPr>
        <w:tabs>
          <w:tab w:val="left" w:pos="426"/>
        </w:tabs>
        <w:autoSpaceDE w:val="0"/>
        <w:spacing w:after="0" w:line="23" w:lineRule="atLeast"/>
        <w:ind w:left="180" w:hanging="1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4737" w:rsidRPr="00EB4737" w:rsidRDefault="00EB4737" w:rsidP="00EB473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1</w:t>
      </w: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Wyjaśnienie:</w:t>
      </w:r>
      <w:r w:rsidRPr="00EB47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skorzystanie z prawa do sprostowania nie może skutkować zmianą wyniku postępowania o udzielenie zamówienia ani zmianą postanowień umowy.  </w:t>
      </w:r>
    </w:p>
    <w:p w:rsidR="00EB4737" w:rsidRPr="00EB4737" w:rsidRDefault="00EB4737" w:rsidP="00EB473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2</w:t>
      </w: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Wyjaśnienie:</w:t>
      </w:r>
      <w:r w:rsidRPr="00EB47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EB47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z uwagi na ważne względy interesu publicznego Unii Europejskiej lub państwa członkowskiego.</w:t>
      </w:r>
    </w:p>
    <w:p w:rsidR="00EB4737" w:rsidRPr="00EB4737" w:rsidRDefault="00EB4737" w:rsidP="00EB473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B4737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3</w:t>
      </w:r>
      <w:r w:rsidRPr="00EB47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rozporządzenie Parlamentu Europejskiego i Rady (UE) 2016/679 z dnia 27 kwietnia 2016 r. w sprawie ochrony osób fizycznych </w:t>
      </w:r>
      <w:r w:rsidRPr="00EB4737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EB4737" w:rsidRPr="00EB4737" w:rsidRDefault="00EB4737" w:rsidP="00EB473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4</w:t>
      </w:r>
      <w:r w:rsidRPr="00EB4737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pl-PL"/>
        </w:rPr>
        <w:t xml:space="preserve"> W przypadku gdy Sprzedający </w:t>
      </w:r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proofErr w:type="spellStart"/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Sprzedajacy</w:t>
      </w:r>
      <w:proofErr w:type="spellEnd"/>
      <w:r w:rsidRPr="00EB4737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nie składa (usunięcie treści oświadczenia np. przez jego wykreślenie).</w:t>
      </w:r>
    </w:p>
    <w:p w:rsidR="00EB4737" w:rsidRDefault="00EB4737"/>
    <w:sectPr w:rsidR="00EB4737" w:rsidSect="00A44382">
      <w:headerReference w:type="default" r:id="rId11"/>
      <w:pgSz w:w="11906" w:h="16838"/>
      <w:pgMar w:top="23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4BD" w:rsidRDefault="002C54BD" w:rsidP="00A44382">
      <w:pPr>
        <w:spacing w:after="0" w:line="240" w:lineRule="auto"/>
      </w:pPr>
      <w:r>
        <w:separator/>
      </w:r>
    </w:p>
  </w:endnote>
  <w:endnote w:type="continuationSeparator" w:id="0">
    <w:p w:rsidR="002C54BD" w:rsidRDefault="002C54BD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4BD" w:rsidRDefault="002C54BD" w:rsidP="00A44382">
      <w:pPr>
        <w:spacing w:after="0" w:line="240" w:lineRule="auto"/>
      </w:pPr>
      <w:r>
        <w:separator/>
      </w:r>
    </w:p>
  </w:footnote>
  <w:footnote w:type="continuationSeparator" w:id="0">
    <w:p w:rsidR="002C54BD" w:rsidRDefault="002C54BD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82" w:rsidRDefault="00A44382">
    <w:pPr>
      <w:pStyle w:val="Nagwek"/>
    </w:pPr>
    <w:r w:rsidRPr="00A4438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1922AE28" wp14:editId="627FFFFB">
          <wp:simplePos x="0" y="0"/>
          <wp:positionH relativeFrom="page">
            <wp:posOffset>876300</wp:posOffset>
          </wp:positionH>
          <wp:positionV relativeFrom="page">
            <wp:posOffset>333375</wp:posOffset>
          </wp:positionV>
          <wp:extent cx="6486519" cy="14478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447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``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B02"/>
    <w:multiLevelType w:val="hybridMultilevel"/>
    <w:tmpl w:val="ED0A38C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9208A9"/>
    <w:multiLevelType w:val="hybridMultilevel"/>
    <w:tmpl w:val="F014F61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D88D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649CB2">
      <w:numFmt w:val="bullet"/>
      <w:lvlText w:val=""/>
      <w:lvlJc w:val="left"/>
      <w:pPr>
        <w:tabs>
          <w:tab w:val="num" w:pos="2925"/>
        </w:tabs>
        <w:ind w:left="2925" w:hanging="405"/>
      </w:pPr>
      <w:rPr>
        <w:rFonts w:ascii="Symbol" w:eastAsia="Times New Roman" w:hAnsi="Symbol" w:cs="Aria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CBF041F"/>
    <w:multiLevelType w:val="singleLevel"/>
    <w:tmpl w:val="A7F6FBAA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7C5697C"/>
    <w:multiLevelType w:val="hybridMultilevel"/>
    <w:tmpl w:val="BFD86E6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3B2B1B"/>
    <w:multiLevelType w:val="hybridMultilevel"/>
    <w:tmpl w:val="7DF6D66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A6E4B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3D12818"/>
    <w:multiLevelType w:val="hybridMultilevel"/>
    <w:tmpl w:val="C3A2D5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B77E8"/>
    <w:rsid w:val="001F100B"/>
    <w:rsid w:val="002935D6"/>
    <w:rsid w:val="002B5755"/>
    <w:rsid w:val="002C54BD"/>
    <w:rsid w:val="003424BE"/>
    <w:rsid w:val="0079144D"/>
    <w:rsid w:val="008F3F89"/>
    <w:rsid w:val="00901774"/>
    <w:rsid w:val="00A44382"/>
    <w:rsid w:val="00A76CA1"/>
    <w:rsid w:val="00B33507"/>
    <w:rsid w:val="00E95567"/>
    <w:rsid w:val="00EB4737"/>
    <w:rsid w:val="00F2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paragraph" w:styleId="Akapitzlist">
    <w:name w:val="List Paragraph"/>
    <w:basedOn w:val="Normalny"/>
    <w:uiPriority w:val="34"/>
    <w:qFormat/>
    <w:rsid w:val="00A76C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4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7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paragraph" w:styleId="Akapitzlist">
    <w:name w:val="List Paragraph"/>
    <w:basedOn w:val="Normalny"/>
    <w:uiPriority w:val="34"/>
    <w:qFormat/>
    <w:rsid w:val="00A76C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4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karel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1404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2020-01-03T11:17:00Z</cp:lastPrinted>
  <dcterms:created xsi:type="dcterms:W3CDTF">2020-01-03T11:14:00Z</dcterms:created>
  <dcterms:modified xsi:type="dcterms:W3CDTF">2020-01-03T12:05:00Z</dcterms:modified>
</cp:coreProperties>
</file>